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5E77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1008" w:firstLineChars="200"/>
        <w:jc w:val="center"/>
        <w:rPr>
          <w:rFonts w:ascii="Times New Roman" w:hAnsi="Times New Roman" w:eastAsia="方正小标宋简体" w:cs="黑体"/>
          <w:bCs/>
          <w:spacing w:val="-8"/>
          <w:sz w:val="52"/>
          <w:szCs w:val="52"/>
          <w:lang w:eastAsia="zh-CN"/>
        </w:rPr>
      </w:pPr>
    </w:p>
    <w:p w14:paraId="0694C75D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883" w:firstLineChars="20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  <w:bookmarkStart w:id="0" w:name="_Toc19475"/>
      <w:bookmarkStart w:id="1" w:name="_Toc25481"/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  <w:t>2024年安徽职业技术学院技能大赛</w:t>
      </w:r>
      <w:bookmarkEnd w:id="0"/>
      <w:bookmarkEnd w:id="1"/>
    </w:p>
    <w:p w14:paraId="14B0DCE1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60167003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883" w:firstLineChars="20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 w14:paraId="57D41FD8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883" w:firstLineChars="20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 w14:paraId="7FD68BDD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883" w:firstLineChars="20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 w14:paraId="64C09ACA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883" w:firstLineChars="20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  <w:bookmarkStart w:id="2" w:name="_Toc9792"/>
      <w:bookmarkStart w:id="3" w:name="_Toc29760"/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  <w:t>赛</w:t>
      </w:r>
      <w:bookmarkEnd w:id="2"/>
      <w:bookmarkEnd w:id="3"/>
    </w:p>
    <w:p w14:paraId="4BFF1AD0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883" w:firstLineChars="20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  <w:bookmarkStart w:id="4" w:name="_Toc15645"/>
      <w:bookmarkStart w:id="5" w:name="_Toc29271"/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  <w:t>项</w:t>
      </w:r>
      <w:bookmarkEnd w:id="4"/>
      <w:bookmarkEnd w:id="5"/>
    </w:p>
    <w:p w14:paraId="14B478D4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883" w:firstLineChars="20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  <w:bookmarkStart w:id="6" w:name="_Toc22792"/>
      <w:bookmarkStart w:id="7" w:name="_Toc30600"/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  <w:t>规</w:t>
      </w:r>
      <w:bookmarkEnd w:id="6"/>
      <w:bookmarkEnd w:id="7"/>
    </w:p>
    <w:p w14:paraId="6A8C19A1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883" w:firstLineChars="20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  <w:bookmarkStart w:id="8" w:name="_Toc27909"/>
      <w:bookmarkStart w:id="9" w:name="_Toc15793"/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  <w:t>程</w:t>
      </w:r>
      <w:bookmarkEnd w:id="8"/>
      <w:bookmarkEnd w:id="9"/>
    </w:p>
    <w:p w14:paraId="1BC033AC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378AFC77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6A0436CC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5EA61DC0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4252453F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02409766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02FCD25D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381EF701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16F6BB33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76" w:firstLineChars="200"/>
        <w:rPr>
          <w:rFonts w:ascii="Times New Roman" w:hAnsi="Times New Roman" w:eastAsia="方正小标宋简体" w:cs="黑体"/>
          <w:spacing w:val="9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黑体"/>
          <w:spacing w:val="9"/>
          <w:sz w:val="32"/>
          <w:szCs w:val="32"/>
          <w:lang w:eastAsia="zh-CN"/>
        </w:rPr>
        <w:t>赛项名称：</w:t>
      </w:r>
      <w:r>
        <w:rPr>
          <w:rFonts w:hint="eastAsia" w:ascii="Times New Roman" w:hAnsi="Times New Roman" w:eastAsia="方正小标宋简体" w:cs="黑体"/>
          <w:spacing w:val="9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小标宋简体" w:cs="黑体"/>
          <w:spacing w:val="9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方正小标宋简体" w:cs="黑体"/>
          <w:spacing w:val="9"/>
          <w:sz w:val="32"/>
          <w:szCs w:val="32"/>
          <w:u w:val="single"/>
          <w:lang w:eastAsia="zh-CN"/>
        </w:rPr>
        <w:t xml:space="preserve">  建筑工程识图         </w:t>
      </w:r>
    </w:p>
    <w:p w14:paraId="2F161A41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76" w:firstLineChars="200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 w:eastAsia="方正小标宋简体" w:cs="黑体"/>
          <w:spacing w:val="9"/>
          <w:sz w:val="32"/>
          <w:szCs w:val="32"/>
          <w:lang w:eastAsia="zh-CN"/>
        </w:rPr>
        <w:t>承办单位：</w:t>
      </w:r>
      <w:r>
        <w:rPr>
          <w:rFonts w:hint="eastAsia" w:ascii="Times New Roman" w:hAnsi="Times New Roman" w:eastAsia="方正小标宋简体" w:cs="黑体"/>
          <w:spacing w:val="9"/>
          <w:sz w:val="32"/>
          <w:szCs w:val="32"/>
          <w:u w:val="single"/>
          <w:lang w:eastAsia="zh-CN"/>
        </w:rPr>
        <w:t xml:space="preserve"> 建筑工程学院、</w:t>
      </w:r>
      <w:r>
        <w:rPr>
          <w:rFonts w:hint="eastAsia" w:ascii="Times New Roman" w:hAnsi="Times New Roman" w:eastAsia="方正小标宋简体" w:cs="黑体"/>
          <w:spacing w:val="9"/>
          <w:sz w:val="32"/>
          <w:szCs w:val="32"/>
          <w:u w:val="single"/>
          <w:lang w:val="en-US" w:eastAsia="zh-CN"/>
        </w:rPr>
        <w:t>轨道交通学院</w:t>
      </w:r>
      <w:r>
        <w:rPr>
          <w:rFonts w:hint="eastAsia" w:ascii="Times New Roman" w:hAnsi="Times New Roman" w:eastAsia="方正小标宋简体" w:cs="黑体"/>
          <w:spacing w:val="9"/>
          <w:sz w:val="32"/>
          <w:szCs w:val="32"/>
          <w:u w:val="single"/>
          <w:lang w:eastAsia="zh-CN"/>
        </w:rPr>
        <w:t xml:space="preserve"> </w:t>
      </w:r>
    </w:p>
    <w:p w14:paraId="7B766D0A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960" w:firstLineChars="200"/>
        <w:jc w:val="both"/>
        <w:rPr>
          <w:rFonts w:ascii="Times New Roman" w:hAnsi="Times New Roman" w:eastAsia="黑体"/>
          <w:sz w:val="48"/>
          <w:szCs w:val="48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086A4E5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960" w:firstLineChars="200"/>
        <w:jc w:val="both"/>
        <w:rPr>
          <w:rFonts w:ascii="Times New Roman" w:hAnsi="Times New Roman" w:eastAsia="黑体"/>
          <w:sz w:val="48"/>
          <w:szCs w:val="48"/>
          <w:lang w:eastAsia="zh-CN"/>
        </w:rPr>
      </w:pPr>
    </w:p>
    <w:p w14:paraId="5BFEAFF1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960" w:firstLineChars="200"/>
        <w:jc w:val="center"/>
        <w:rPr>
          <w:rFonts w:ascii="Times New Roman" w:hAnsi="Times New Roman" w:eastAsia="黑体"/>
          <w:sz w:val="48"/>
          <w:szCs w:val="48"/>
          <w:lang w:eastAsia="zh-CN"/>
        </w:rPr>
      </w:pPr>
      <w:r>
        <w:rPr>
          <w:rFonts w:hint="eastAsia" w:ascii="Times New Roman" w:hAnsi="Times New Roman" w:eastAsia="黑体"/>
          <w:sz w:val="48"/>
          <w:szCs w:val="48"/>
          <w:lang w:eastAsia="zh-CN"/>
        </w:rPr>
        <w:t>目 录</w:t>
      </w:r>
    </w:p>
    <w:sdt>
      <w:sdtPr>
        <w:rPr>
          <w:rFonts w:hint="eastAsia" w:ascii="仿宋" w:hAnsi="仿宋" w:eastAsia="仿宋" w:cs="仿宋"/>
          <w:b w:val="0"/>
          <w:bCs w:val="0"/>
          <w:caps w:val="0"/>
          <w:sz w:val="28"/>
          <w:szCs w:val="28"/>
        </w:rPr>
        <w:id w:val="44340535"/>
        <w:docPartObj>
          <w:docPartGallery w:val="Table of Contents"/>
          <w:docPartUnique/>
        </w:docPartObj>
      </w:sdtPr>
      <w:sdtEndPr>
        <w:rPr>
          <w:rFonts w:hint="eastAsia" w:ascii="Arial" w:hAnsi="仿宋" w:eastAsia="宋体" w:cs="仿宋"/>
          <w:b w:val="0"/>
          <w:bCs w:val="0"/>
          <w:caps w:val="0"/>
          <w:sz w:val="21"/>
          <w:szCs w:val="21"/>
        </w:rPr>
      </w:sdtEndPr>
      <w:sdtContent>
        <w:p w14:paraId="46569784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0" w:firstLineChars="200"/>
            <w:textAlignment w:val="baseline"/>
            <w:rPr>
              <w:rFonts w:hint="eastAsia" w:ascii="仿宋" w:hAnsi="仿宋" w:eastAsia="仿宋" w:cs="仿宋"/>
              <w:caps/>
              <w:snapToGrid w:val="0"/>
              <w:color w:val="000000"/>
              <w:kern w:val="0"/>
              <w:sz w:val="28"/>
              <w:szCs w:val="28"/>
              <w:lang w:val="en-US" w:eastAsia="en-US" w:bidi="ar-SA"/>
              <w14:ligatures w14:val="none"/>
            </w:rPr>
          </w:pPr>
          <w:r>
            <w:rPr>
              <w:rFonts w:hint="eastAsia" w:ascii="仿宋" w:hAnsi="仿宋" w:eastAsia="仿宋" w:cs="仿宋"/>
              <w:cap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aps w:val="0"/>
              <w:sz w:val="28"/>
              <w:szCs w:val="28"/>
            </w:rPr>
            <w:instrText xml:space="preserve"> TOC \o "1-2" \h \z \u </w:instrText>
          </w:r>
          <w:r>
            <w:rPr>
              <w:rFonts w:hint="eastAsia" w:ascii="仿宋" w:hAnsi="仿宋" w:eastAsia="仿宋" w:cs="仿宋"/>
              <w:caps w:val="0"/>
              <w:sz w:val="28"/>
              <w:szCs w:val="28"/>
            </w:rPr>
            <w:fldChar w:fldCharType="separate"/>
          </w:r>
        </w:p>
        <w:p w14:paraId="2F7CB6EB"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2" w:firstLineChars="200"/>
            <w:textAlignment w:val="baseline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instrText xml:space="preserve"> HYPERLINK \l _Toc30554 </w:instrTex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eastAsia="zh-CN"/>
            </w:rPr>
            <w:t>一、赛项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val="en-US" w:eastAsia="zh-CN"/>
            </w:rPr>
            <w:t>名称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_Toc30554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end"/>
          </w:r>
        </w:p>
        <w:p w14:paraId="5468D2CD"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2" w:firstLineChars="200"/>
            <w:textAlignment w:val="baseline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instrText xml:space="preserve"> HYPERLINK \l _Toc23688 </w:instrTex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eastAsia="zh-CN"/>
            </w:rPr>
            <w:t>二、竞赛目标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_Toc23688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end"/>
          </w:r>
        </w:p>
        <w:p w14:paraId="709B5B0F"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2" w:firstLineChars="200"/>
            <w:textAlignment w:val="baseline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instrText xml:space="preserve"> HYPERLINK \l _Toc30558 </w:instrTex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eastAsia="zh-CN"/>
            </w:rPr>
            <w:t>三、竞赛内容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_Toc30558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end"/>
          </w:r>
        </w:p>
        <w:p w14:paraId="67963B26"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2" w:firstLineChars="200"/>
            <w:textAlignment w:val="baseline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instrText xml:space="preserve"> HYPERLINK \l _Toc21935 </w:instrTex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eastAsia="zh-CN"/>
            </w:rPr>
            <w:t>四、竞赛方式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cs="仿宋"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end"/>
          </w:r>
        </w:p>
        <w:p w14:paraId="1243C228"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2" w:firstLineChars="200"/>
            <w:textAlignment w:val="baseline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instrText xml:space="preserve"> HYPERLINK \l _Toc30190 </w:instrTex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eastAsia="zh-CN"/>
            </w:rPr>
            <w:t>五、竞赛安排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_Toc30190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end"/>
          </w:r>
        </w:p>
        <w:p w14:paraId="40CD6B06"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2" w:firstLineChars="200"/>
            <w:textAlignment w:val="baseline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instrText xml:space="preserve"> HYPERLINK \l _Toc30611 </w:instrTex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val="en-US" w:eastAsia="zh-CN"/>
            </w:rPr>
            <w:t>六、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eastAsia="zh-CN"/>
            </w:rPr>
            <w:t>技术规范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cs="仿宋"/>
              <w:sz w:val="28"/>
              <w:szCs w:val="28"/>
              <w:lang w:val="en-US" w:eastAsia="zh-CN"/>
            </w:rPr>
            <w:t>2</w: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end"/>
          </w:r>
        </w:p>
        <w:p w14:paraId="6C7965B6"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2" w:firstLineChars="200"/>
            <w:textAlignment w:val="baseline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instrText xml:space="preserve"> HYPERLINK \l _Toc17874 </w:instrTex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val="en-US" w:eastAsia="zh-CN"/>
            </w:rPr>
            <w:t>七、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eastAsia="zh-CN"/>
            </w:rPr>
            <w:t>成绩评定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_Toc17874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end"/>
          </w:r>
        </w:p>
        <w:p w14:paraId="18BC47A1"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2" w:firstLineChars="200"/>
            <w:textAlignment w:val="baseline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instrText xml:space="preserve"> HYPERLINK \l _Toc25917 </w:instrText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val="en-US" w:eastAsia="zh-CN"/>
            </w:rPr>
            <w:t>八、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  <w:lang w:eastAsia="zh-CN"/>
            </w:rPr>
            <w:t>奖项设置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_Toc25917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end"/>
          </w:r>
        </w:p>
        <w:p w14:paraId="30C3AA0D"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296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after="0" w:line="480" w:lineRule="auto"/>
            <w:ind w:left="0" w:leftChars="0" w:right="0" w:firstLine="562" w:firstLineChars="200"/>
            <w:textAlignment w:val="baseline"/>
          </w:pPr>
          <w:r>
            <w:rPr>
              <w:rFonts w:hint="eastAsia" w:ascii="仿宋" w:hAnsi="仿宋" w:eastAsia="仿宋" w:cs="仿宋"/>
              <w:caps/>
              <w:sz w:val="28"/>
              <w:szCs w:val="28"/>
            </w:rPr>
            <w:fldChar w:fldCharType="end"/>
          </w:r>
        </w:p>
      </w:sdtContent>
    </w:sdt>
    <w:p w14:paraId="5A26C8BD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960" w:firstLineChars="200"/>
        <w:jc w:val="center"/>
        <w:rPr>
          <w:rFonts w:ascii="Times New Roman" w:hAnsi="Times New Roman" w:eastAsia="黑体"/>
          <w:sz w:val="48"/>
          <w:szCs w:val="48"/>
          <w:lang w:eastAsia="zh-CN"/>
        </w:rPr>
      </w:pPr>
    </w:p>
    <w:p w14:paraId="18300E94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960" w:firstLineChars="200"/>
        <w:jc w:val="center"/>
        <w:rPr>
          <w:rFonts w:ascii="Times New Roman" w:hAnsi="Times New Roman" w:eastAsia="黑体"/>
          <w:sz w:val="48"/>
          <w:szCs w:val="48"/>
          <w:lang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54D08A93">
      <w:pPr>
        <w:keepNext/>
        <w:keepLines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outlineLvl w:val="0"/>
        <w:rPr>
          <w:rFonts w:hint="default" w:ascii="Times New Roman" w:hAnsi="Times New Roman" w:eastAsia="黑体"/>
          <w:bCs/>
          <w:kern w:val="44"/>
          <w:sz w:val="32"/>
          <w:szCs w:val="44"/>
          <w:lang w:val="en-US" w:eastAsia="zh-CN"/>
        </w:rPr>
      </w:pPr>
      <w:bookmarkStart w:id="10" w:name="_Toc30554"/>
      <w:r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  <w:t>一、赛项</w:t>
      </w:r>
      <w:r>
        <w:rPr>
          <w:rFonts w:hint="eastAsia" w:ascii="Times New Roman" w:hAnsi="Times New Roman" w:eastAsia="黑体"/>
          <w:bCs/>
          <w:kern w:val="44"/>
          <w:sz w:val="32"/>
          <w:szCs w:val="44"/>
          <w:lang w:val="en-US" w:eastAsia="zh-CN"/>
        </w:rPr>
        <w:t>名称</w:t>
      </w:r>
      <w:bookmarkEnd w:id="10"/>
    </w:p>
    <w:p w14:paraId="799AE7AA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4" w:firstLineChars="200"/>
        <w:jc w:val="both"/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spacing w:val="-4"/>
          <w:sz w:val="28"/>
          <w:szCs w:val="28"/>
          <w:lang w:eastAsia="zh-CN"/>
        </w:rPr>
        <w:t>建筑工程识图赛项</w:t>
      </w:r>
    </w:p>
    <w:p w14:paraId="193A8316">
      <w:pPr>
        <w:keepNext/>
        <w:keepLines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outlineLvl w:val="0"/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</w:pPr>
      <w:bookmarkStart w:id="11" w:name="_Toc23688"/>
      <w:r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  <w:t>二、竞赛目标</w:t>
      </w:r>
      <w:bookmarkEnd w:id="11"/>
    </w:p>
    <w:p w14:paraId="31700DF9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8" w:firstLineChars="200"/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spacing w:val="-3"/>
          <w:sz w:val="28"/>
          <w:szCs w:val="28"/>
          <w:lang w:val="en-US" w:eastAsia="zh-CN"/>
        </w:rPr>
        <w:t>本赛项</w:t>
      </w:r>
      <w:r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  <w:t>通过竞赛搭建建筑工程识图技能的竞技舞台</w:t>
      </w:r>
      <w:r>
        <w:rPr>
          <w:rFonts w:hint="eastAsia" w:ascii="Times New Roman" w:hAnsi="Times New Roman" w:eastAsia="仿宋" w:cs="仿宋"/>
          <w:spacing w:val="-3"/>
          <w:sz w:val="28"/>
          <w:szCs w:val="28"/>
          <w:lang w:eastAsia="zh-CN"/>
        </w:rPr>
        <w:t>，</w:t>
      </w:r>
      <w:r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  <w:t>促进课程教学与岗位技能需求互通，对标职业岗位核心能力，引发学生对识图技能关注，引导学生强化实践锻炼，深化技能学习，提升技能水平，满足建筑业转型升级对高素质技术技能人才需求。</w:t>
      </w:r>
    </w:p>
    <w:p w14:paraId="32D4D85C">
      <w:pPr>
        <w:keepNext/>
        <w:keepLines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outlineLvl w:val="0"/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</w:pPr>
      <w:bookmarkStart w:id="12" w:name="_Toc30558"/>
      <w:r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  <w:t>三、竞赛内容</w:t>
      </w:r>
      <w:bookmarkEnd w:id="12"/>
    </w:p>
    <w:p w14:paraId="2A7CFF2A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8" w:firstLineChars="200"/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</w:pPr>
      <w:r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  <w:t>本赛项主要考核选手在建筑工程施工图技术信息识读、运用CAD 绘图软件绘图等方面的实践能力和职业素养。</w:t>
      </w:r>
      <w:r>
        <w:rPr>
          <w:rFonts w:hint="eastAsia" w:ascii="Times New Roman" w:hAnsi="Times New Roman" w:eastAsia="仿宋" w:cs="仿宋"/>
          <w:spacing w:val="-3"/>
          <w:sz w:val="28"/>
          <w:szCs w:val="28"/>
          <w:lang w:eastAsia="zh-CN"/>
        </w:rPr>
        <w:t>参赛选手需在规定的时间内，独立完成以下两个竞赛模块的任务：建筑工程识图、建筑工程绘图。</w:t>
      </w:r>
    </w:p>
    <w:p w14:paraId="1855BB83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60" w:firstLineChars="200"/>
        <w:rPr>
          <w:rFonts w:ascii="Times New Roman" w:hAnsi="Times New Roman" w:eastAsia="仿宋" w:cs="仿宋"/>
          <w:b/>
          <w:bCs/>
          <w:spacing w:val="-3"/>
          <w:sz w:val="28"/>
          <w:szCs w:val="28"/>
          <w:lang w:eastAsia="zh-CN"/>
        </w:rPr>
      </w:pPr>
      <w:bookmarkStart w:id="13" w:name="_Toc6962"/>
      <w:r>
        <w:rPr>
          <w:rStyle w:val="31"/>
          <w:rFonts w:ascii="Times New Roman" w:hAnsi="Times New Roman"/>
          <w:lang w:eastAsia="zh-CN"/>
        </w:rPr>
        <w:t>（一）建筑</w:t>
      </w:r>
      <w:r>
        <w:rPr>
          <w:rStyle w:val="31"/>
          <w:rFonts w:hint="eastAsia" w:ascii="Times New Roman" w:hAnsi="Times New Roman"/>
          <w:lang w:eastAsia="zh-CN"/>
        </w:rPr>
        <w:t>工程</w:t>
      </w:r>
      <w:r>
        <w:rPr>
          <w:rStyle w:val="31"/>
          <w:rFonts w:ascii="Times New Roman" w:hAnsi="Times New Roman"/>
          <w:lang w:eastAsia="zh-CN"/>
        </w:rPr>
        <w:t>识图模块</w:t>
      </w:r>
      <w:bookmarkEnd w:id="13"/>
    </w:p>
    <w:p w14:paraId="2C074E7B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8" w:firstLineChars="200"/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spacing w:val="-3"/>
          <w:sz w:val="28"/>
          <w:szCs w:val="28"/>
          <w:lang w:eastAsia="zh-CN"/>
        </w:rPr>
        <w:t>选手在阅读给定的建筑工程施工图纸、图纸会审记录、设计变更等资料之后，发现图纸中存在的错误、缺陷、疏漏，各自独立完成识读相关知识的答题，</w:t>
      </w:r>
      <w:r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  <w:t>占总成绩的</w:t>
      </w:r>
      <w:r>
        <w:rPr>
          <w:rFonts w:hint="eastAsia" w:ascii="Times New Roman" w:hAnsi="Times New Roman" w:eastAsia="仿宋" w:cs="仿宋"/>
          <w:spacing w:val="-3"/>
          <w:sz w:val="28"/>
          <w:szCs w:val="28"/>
          <w:lang w:eastAsia="zh-CN"/>
        </w:rPr>
        <w:t>5</w:t>
      </w:r>
      <w:r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  <w:t>0%</w:t>
      </w:r>
      <w:r>
        <w:rPr>
          <w:rFonts w:hint="eastAsia" w:ascii="Times New Roman" w:hAnsi="Times New Roman" w:eastAsia="仿宋" w:cs="仿宋"/>
          <w:spacing w:val="-3"/>
          <w:sz w:val="28"/>
          <w:szCs w:val="28"/>
          <w:lang w:eastAsia="zh-CN"/>
        </w:rPr>
        <w:t>。</w:t>
      </w:r>
    </w:p>
    <w:p w14:paraId="2F5A9FDF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60" w:firstLineChars="200"/>
        <w:rPr>
          <w:rFonts w:ascii="Times New Roman" w:hAnsi="Times New Roman" w:eastAsia="仿宋" w:cs="仿宋"/>
          <w:b/>
          <w:bCs/>
          <w:spacing w:val="-3"/>
          <w:sz w:val="28"/>
          <w:szCs w:val="28"/>
          <w:lang w:eastAsia="zh-CN"/>
        </w:rPr>
      </w:pPr>
      <w:bookmarkStart w:id="14" w:name="_Toc6244"/>
      <w:r>
        <w:rPr>
          <w:rStyle w:val="31"/>
          <w:rFonts w:hint="eastAsia" w:ascii="Times New Roman" w:hAnsi="Times New Roman"/>
          <w:lang w:eastAsia="zh-CN"/>
        </w:rPr>
        <w:t>（二）建筑工程绘图模块</w:t>
      </w:r>
      <w:bookmarkEnd w:id="14"/>
    </w:p>
    <w:p w14:paraId="78B3CB68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8" w:firstLineChars="200"/>
        <w:rPr>
          <w:rFonts w:hint="eastAsia" w:ascii="Times New Roman" w:hAnsi="Times New Roman" w:eastAsia="仿宋" w:cs="仿宋"/>
          <w:spacing w:val="-3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spacing w:val="-3"/>
          <w:sz w:val="28"/>
          <w:szCs w:val="28"/>
          <w:lang w:eastAsia="zh-CN"/>
        </w:rPr>
        <w:t>选手根据给定的建筑工程施工图纸、图纸会审纪要、设计变更单等资料，运用中望CAD（2020教育版）绘图软件绘制指定的建筑专业、结构专业施工图，</w:t>
      </w:r>
      <w:r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  <w:t>占总成绩的</w:t>
      </w:r>
      <w:r>
        <w:rPr>
          <w:rFonts w:hint="eastAsia" w:ascii="Times New Roman" w:hAnsi="Times New Roman" w:eastAsia="仿宋" w:cs="仿宋"/>
          <w:spacing w:val="-3"/>
          <w:sz w:val="28"/>
          <w:szCs w:val="28"/>
          <w:lang w:eastAsia="zh-CN"/>
        </w:rPr>
        <w:t>5</w:t>
      </w:r>
      <w:r>
        <w:rPr>
          <w:rFonts w:ascii="Times New Roman" w:hAnsi="Times New Roman" w:eastAsia="仿宋" w:cs="仿宋"/>
          <w:spacing w:val="-3"/>
          <w:sz w:val="28"/>
          <w:szCs w:val="28"/>
          <w:lang w:eastAsia="zh-CN"/>
        </w:rPr>
        <w:t>0%</w:t>
      </w:r>
      <w:r>
        <w:rPr>
          <w:rFonts w:hint="eastAsia" w:ascii="Times New Roman" w:hAnsi="Times New Roman" w:eastAsia="仿宋" w:cs="仿宋"/>
          <w:spacing w:val="-3"/>
          <w:sz w:val="28"/>
          <w:szCs w:val="28"/>
          <w:lang w:eastAsia="zh-CN"/>
        </w:rPr>
        <w:t>。</w:t>
      </w:r>
      <w:bookmarkStart w:id="15" w:name="_Toc21935"/>
    </w:p>
    <w:p w14:paraId="0FF1641F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</w:pPr>
      <w:r>
        <w:rPr>
          <w:rFonts w:hint="eastAsia" w:ascii="Times New Roman" w:hAnsi="Times New Roman" w:eastAsia="黑体"/>
          <w:bCs/>
          <w:kern w:val="44"/>
          <w:sz w:val="32"/>
          <w:szCs w:val="44"/>
          <w:lang w:eastAsia="zh-CN"/>
        </w:rPr>
        <w:t>四</w:t>
      </w:r>
      <w:r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  <w:t>、竞赛</w:t>
      </w:r>
      <w:r>
        <w:rPr>
          <w:rFonts w:hint="eastAsia" w:ascii="Times New Roman" w:hAnsi="Times New Roman" w:eastAsia="黑体"/>
          <w:bCs/>
          <w:kern w:val="44"/>
          <w:sz w:val="32"/>
          <w:szCs w:val="44"/>
          <w:lang w:eastAsia="zh-CN"/>
        </w:rPr>
        <w:t>方式</w:t>
      </w:r>
      <w:bookmarkEnd w:id="15"/>
    </w:p>
    <w:p w14:paraId="2182F246">
      <w:pPr>
        <w:pStyle w:val="3"/>
        <w:keepNext/>
        <w:keepLines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60" w:firstLineChars="200"/>
        <w:rPr>
          <w:rFonts w:ascii="Times New Roman" w:hAnsi="Times New Roman"/>
        </w:rPr>
      </w:pPr>
      <w:bookmarkStart w:id="16" w:name="_Toc1339"/>
      <w:r>
        <w:rPr>
          <w:rFonts w:hint="eastAsia" w:ascii="Times New Roman" w:hAnsi="Times New Roman"/>
        </w:rPr>
        <w:t>（一）竞赛形式</w:t>
      </w:r>
      <w:bookmarkEnd w:id="16"/>
    </w:p>
    <w:p w14:paraId="72474565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52" w:firstLineChars="200"/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</w:pP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本赛项竞赛采用线下集中比赛，计算机上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>完成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操作，成果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>现场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提交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>，并签字确认，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成果评判采取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>人工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评判模式进行。</w:t>
      </w:r>
    </w:p>
    <w:p w14:paraId="7C1B8340">
      <w:pPr>
        <w:pStyle w:val="3"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60" w:firstLineChars="200"/>
        <w:rPr>
          <w:rFonts w:ascii="Times New Roman" w:hAnsi="Times New Roman"/>
        </w:rPr>
      </w:pPr>
      <w:bookmarkStart w:id="17" w:name="_Toc7852"/>
      <w:r>
        <w:rPr>
          <w:rFonts w:hint="eastAsia" w:ascii="Times New Roman" w:hAnsi="Times New Roman"/>
        </w:rPr>
        <w:t>（二）组队方式</w:t>
      </w:r>
      <w:bookmarkEnd w:id="17"/>
    </w:p>
    <w:p w14:paraId="6FF89C5F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52" w:firstLineChars="200"/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</w:pP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1.本赛项为团体赛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>；</w:t>
      </w:r>
    </w:p>
    <w:p w14:paraId="2F93EB30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52" w:firstLineChars="200"/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</w:pP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2.每支参赛队由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3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名参赛选手组成，其中队长1名，性别和年级不限。参赛选手均需完成模块一、模块二竞赛内容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>；</w:t>
      </w:r>
    </w:p>
    <w:p w14:paraId="503BC909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52" w:firstLineChars="200"/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</w:pP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3.每支参赛队可配指导教师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名，指导教师须为本校专兼职教师。</w:t>
      </w:r>
    </w:p>
    <w:p w14:paraId="269146DC">
      <w:pPr>
        <w:keepNext/>
        <w:keepLines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outlineLvl w:val="0"/>
        <w:rPr>
          <w:rFonts w:hint="eastAsia" w:ascii="Times New Roman" w:hAnsi="Times New Roman" w:eastAsia="黑体" w:cs="Arial"/>
          <w:bCs/>
          <w:kern w:val="44"/>
          <w:sz w:val="32"/>
          <w:szCs w:val="44"/>
          <w:lang w:val="en-US" w:eastAsia="zh-CN"/>
        </w:rPr>
      </w:pPr>
      <w:bookmarkStart w:id="18" w:name="_Toc30190"/>
      <w:r>
        <w:rPr>
          <w:rFonts w:hint="eastAsia" w:ascii="Times New Roman" w:hAnsi="Times New Roman" w:eastAsia="黑体" w:cs="Arial"/>
          <w:bCs/>
          <w:kern w:val="44"/>
          <w:sz w:val="32"/>
          <w:szCs w:val="44"/>
          <w:lang w:eastAsia="zh-CN"/>
        </w:rPr>
        <w:t>五、竞赛安排</w:t>
      </w:r>
      <w:bookmarkEnd w:id="18"/>
      <w:r>
        <w:rPr>
          <w:rFonts w:hint="eastAsia" w:ascii="Times New Roman" w:hAnsi="Times New Roman" w:eastAsia="黑体" w:cs="Arial"/>
          <w:bCs/>
          <w:kern w:val="44"/>
          <w:sz w:val="32"/>
          <w:szCs w:val="44"/>
          <w:lang w:val="en-US" w:eastAsia="zh-CN"/>
        </w:rPr>
        <w:t xml:space="preserve"> </w:t>
      </w:r>
    </w:p>
    <w:p w14:paraId="69FF7AE7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52" w:firstLineChars="200"/>
        <w:rPr>
          <w:rFonts w:hint="default" w:ascii="Times New Roman" w:hAnsi="Times New Roman" w:eastAsia="黑体"/>
          <w:bCs/>
          <w:kern w:val="44"/>
          <w:sz w:val="32"/>
          <w:szCs w:val="44"/>
          <w:lang w:val="en-US" w:eastAsia="zh-CN"/>
        </w:rPr>
      </w:pP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竞赛共</w:t>
      </w:r>
      <w:r>
        <w:rPr>
          <w:rFonts w:hint="default" w:ascii="Times New Roman" w:hAnsi="Times New Roman" w:eastAsia="仿宋" w:cs="仿宋"/>
          <w:spacing w:val="-2"/>
          <w:sz w:val="28"/>
          <w:szCs w:val="28"/>
          <w:lang w:val="en-US" w:eastAsia="zh-CN"/>
        </w:rPr>
        <w:t>半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天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仿宋"/>
          <w:spacing w:val="-2"/>
          <w:sz w:val="28"/>
          <w:szCs w:val="28"/>
          <w:lang w:val="en-US" w:eastAsia="zh-CN"/>
        </w:rPr>
        <w:t>下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>午进行比赛，模块一时长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仿宋"/>
          <w:spacing w:val="-2"/>
          <w:sz w:val="28"/>
          <w:szCs w:val="28"/>
          <w:lang w:eastAsia="zh-CN"/>
        </w:rPr>
        <w:t>小时，模块二时长1小时</w:t>
      </w:r>
      <w:r>
        <w:rPr>
          <w:rFonts w:ascii="Times New Roman" w:hAnsi="Times New Roman" w:eastAsia="仿宋" w:cs="仿宋"/>
          <w:spacing w:val="-2"/>
          <w:sz w:val="28"/>
          <w:szCs w:val="28"/>
          <w:lang w:eastAsia="zh-CN"/>
        </w:rPr>
        <w:t>。</w:t>
      </w:r>
    </w:p>
    <w:tbl>
      <w:tblPr>
        <w:tblStyle w:val="50"/>
        <w:tblpPr w:leftFromText="180" w:rightFromText="180" w:vertAnchor="text" w:horzAnchor="page" w:tblpX="1582" w:tblpY="358"/>
        <w:tblOverlap w:val="never"/>
        <w:tblW w:w="535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938"/>
        <w:gridCol w:w="3684"/>
        <w:gridCol w:w="1773"/>
      </w:tblGrid>
      <w:tr w14:paraId="49499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3" w:type="pct"/>
            <w:vAlign w:val="center"/>
          </w:tcPr>
          <w:p w14:paraId="6FD2B046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398" w:firstLineChars="200"/>
              <w:jc w:val="both"/>
              <w:rPr>
                <w:rFonts w:ascii="仿宋_GB2312" w:hAnsi="仿宋_GB2312" w:cs="仿宋_GB2312"/>
                <w:b/>
                <w:bCs/>
                <w:color w:val="auto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2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1089" w:type="pct"/>
            <w:vAlign w:val="center"/>
          </w:tcPr>
          <w:p w14:paraId="00C16A57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693" w:firstLineChars="300"/>
              <w:jc w:val="both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2070" w:type="pct"/>
            <w:vAlign w:val="center"/>
          </w:tcPr>
          <w:p w14:paraId="1719374B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1533" w:firstLineChars="700"/>
              <w:jc w:val="both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1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1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996" w:type="pct"/>
            <w:vAlign w:val="center"/>
          </w:tcPr>
          <w:p w14:paraId="3D6AE7C1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747" w:firstLineChars="300"/>
              <w:jc w:val="both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</w:tr>
      <w:tr w14:paraId="1A4BB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pct"/>
            <w:vMerge w:val="restart"/>
            <w:tcBorders>
              <w:left w:val="single" w:color="auto" w:sz="4" w:space="0"/>
            </w:tcBorders>
            <w:vAlign w:val="center"/>
          </w:tcPr>
          <w:p w14:paraId="27FB861C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right="0" w:firstLine="260" w:firstLineChars="1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none"/>
              </w:rPr>
              <w:t>12月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089" w:type="pct"/>
            <w:tcBorders>
              <w:left w:val="single" w:color="auto" w:sz="4" w:space="0"/>
            </w:tcBorders>
            <w:vAlign w:val="center"/>
          </w:tcPr>
          <w:p w14:paraId="7754B19E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right="0" w:firstLine="238" w:firstLineChars="1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eastAsia="zh-CN"/>
              </w:rPr>
              <w:t>14:00—14:30</w:t>
            </w:r>
          </w:p>
        </w:tc>
        <w:tc>
          <w:tcPr>
            <w:tcW w:w="2070" w:type="pct"/>
            <w:vAlign w:val="center"/>
          </w:tcPr>
          <w:p w14:paraId="072EE540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528" w:firstLineChars="2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2"/>
                <w:sz w:val="24"/>
                <w:szCs w:val="24"/>
              </w:rPr>
              <w:t>赛场熟悉及抽签</w:t>
            </w:r>
          </w:p>
        </w:tc>
        <w:tc>
          <w:tcPr>
            <w:tcW w:w="996" w:type="pct"/>
            <w:vMerge w:val="restart"/>
            <w:vAlign w:val="center"/>
          </w:tcPr>
          <w:p w14:paraId="2365FA9A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right="0" w:firstLine="260" w:firstLineChars="100"/>
              <w:jc w:val="both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至勇楼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302</w:t>
            </w:r>
          </w:p>
        </w:tc>
      </w:tr>
      <w:tr w14:paraId="5C022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pct"/>
            <w:vMerge w:val="continue"/>
            <w:tcBorders>
              <w:left w:val="single" w:color="auto" w:sz="4" w:space="0"/>
            </w:tcBorders>
            <w:vAlign w:val="center"/>
          </w:tcPr>
          <w:p w14:paraId="65F83FFA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520" w:firstLineChars="2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089" w:type="pct"/>
            <w:tcBorders>
              <w:left w:val="single" w:color="auto" w:sz="4" w:space="0"/>
            </w:tcBorders>
            <w:vAlign w:val="center"/>
          </w:tcPr>
          <w:p w14:paraId="7FBB3B13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right="0" w:firstLine="238" w:firstLineChars="1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eastAsia="zh-CN"/>
              </w:rPr>
              <w:t>14:30—15:30</w:t>
            </w:r>
          </w:p>
        </w:tc>
        <w:tc>
          <w:tcPr>
            <w:tcW w:w="2070" w:type="pct"/>
            <w:vAlign w:val="center"/>
          </w:tcPr>
          <w:p w14:paraId="4CD63F43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528" w:firstLineChars="2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2"/>
                <w:sz w:val="24"/>
                <w:szCs w:val="24"/>
                <w:lang w:eastAsia="zh-CN"/>
              </w:rPr>
              <w:t>建筑工程识图</w:t>
            </w:r>
            <w:r>
              <w:rPr>
                <w:rFonts w:hint="eastAsia" w:ascii="仿宋_GB2312" w:hAnsi="仿宋_GB2312" w:cs="仿宋_GB2312"/>
                <w:color w:val="auto"/>
                <w:spacing w:val="12"/>
                <w:sz w:val="24"/>
                <w:szCs w:val="24"/>
              </w:rPr>
              <w:t>竞赛</w:t>
            </w:r>
          </w:p>
        </w:tc>
        <w:tc>
          <w:tcPr>
            <w:tcW w:w="996" w:type="pct"/>
            <w:vMerge w:val="continue"/>
          </w:tcPr>
          <w:p w14:paraId="5245D4D1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480" w:firstLineChars="2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14:paraId="0A1F7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pct"/>
            <w:vMerge w:val="continue"/>
            <w:tcBorders>
              <w:left w:val="single" w:color="auto" w:sz="4" w:space="0"/>
            </w:tcBorders>
            <w:vAlign w:val="center"/>
          </w:tcPr>
          <w:p w14:paraId="5A0C2E17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520" w:firstLineChars="2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089" w:type="pct"/>
            <w:tcBorders>
              <w:left w:val="single" w:color="auto" w:sz="4" w:space="0"/>
            </w:tcBorders>
            <w:vAlign w:val="center"/>
          </w:tcPr>
          <w:p w14:paraId="20511468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right="0" w:firstLine="238" w:firstLineChars="1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eastAsia="zh-CN"/>
              </w:rPr>
              <w:t>15:30—16:30</w:t>
            </w:r>
          </w:p>
        </w:tc>
        <w:tc>
          <w:tcPr>
            <w:tcW w:w="2070" w:type="pct"/>
            <w:vAlign w:val="center"/>
          </w:tcPr>
          <w:p w14:paraId="61888A68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520" w:firstLineChars="2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eastAsia="zh-CN"/>
              </w:rPr>
              <w:t>建筑工程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绘图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竞赛</w:t>
            </w:r>
          </w:p>
        </w:tc>
        <w:tc>
          <w:tcPr>
            <w:tcW w:w="996" w:type="pct"/>
            <w:vMerge w:val="continue"/>
          </w:tcPr>
          <w:p w14:paraId="4E32B390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480" w:firstLineChars="2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14:paraId="7AADE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pct"/>
            <w:vMerge w:val="continue"/>
            <w:tcBorders>
              <w:left w:val="single" w:color="auto" w:sz="4" w:space="0"/>
            </w:tcBorders>
            <w:vAlign w:val="center"/>
          </w:tcPr>
          <w:p w14:paraId="7445A62E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520" w:firstLineChars="2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089" w:type="pct"/>
            <w:tcBorders>
              <w:left w:val="single" w:color="auto" w:sz="4" w:space="0"/>
            </w:tcBorders>
            <w:vAlign w:val="center"/>
          </w:tcPr>
          <w:p w14:paraId="2F05378F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right="0" w:firstLine="238" w:firstLineChars="1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eastAsia="zh-CN"/>
              </w:rPr>
              <w:t>0—1</w:t>
            </w: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仿宋"/>
                <w:spacing w:val="-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70" w:type="pct"/>
            <w:vAlign w:val="center"/>
          </w:tcPr>
          <w:p w14:paraId="763144BC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520" w:firstLineChars="2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选</w:t>
            </w:r>
            <w:r>
              <w:rPr>
                <w:rFonts w:hint="eastAsia" w:ascii="仿宋_GB2312" w:hAnsi="仿宋_GB2312" w:cs="仿宋_GB2312"/>
                <w:color w:val="auto"/>
                <w:spacing w:val="9"/>
                <w:sz w:val="24"/>
                <w:szCs w:val="24"/>
              </w:rPr>
              <w:t>手离场</w:t>
            </w:r>
          </w:p>
        </w:tc>
        <w:tc>
          <w:tcPr>
            <w:tcW w:w="996" w:type="pct"/>
            <w:vMerge w:val="continue"/>
          </w:tcPr>
          <w:p w14:paraId="5B26CDB1">
            <w:pPr>
              <w:pageBreakBefore w:val="0"/>
              <w:wordWrap/>
              <w:overflowPunct/>
              <w:topLinePunct w:val="0"/>
              <w:bidi w:val="0"/>
              <w:spacing w:after="0" w:line="360" w:lineRule="auto"/>
              <w:ind w:left="0" w:leftChars="0" w:right="0" w:firstLine="480" w:firstLineChars="2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</w:tbl>
    <w:p w14:paraId="50945A80">
      <w:pPr>
        <w:keepNext/>
        <w:keepLines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outlineLvl w:val="0"/>
        <w:rPr>
          <w:rFonts w:hint="eastAsia" w:ascii="Times New Roman" w:hAnsi="Times New Roman" w:eastAsia="黑体"/>
          <w:bCs/>
          <w:kern w:val="44"/>
          <w:sz w:val="32"/>
          <w:szCs w:val="44"/>
          <w:lang w:val="en-US" w:eastAsia="zh-CN"/>
        </w:rPr>
      </w:pPr>
      <w:bookmarkStart w:id="19" w:name="_Toc30611"/>
    </w:p>
    <w:p w14:paraId="070B802C">
      <w:pPr>
        <w:keepNext/>
        <w:keepLines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outlineLvl w:val="0"/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</w:pPr>
      <w:r>
        <w:rPr>
          <w:rFonts w:hint="eastAsia" w:ascii="Times New Roman" w:hAnsi="Times New Roman" w:eastAsia="黑体"/>
          <w:bCs/>
          <w:kern w:val="44"/>
          <w:sz w:val="32"/>
          <w:szCs w:val="44"/>
          <w:lang w:val="en-US" w:eastAsia="zh-CN"/>
        </w:rPr>
        <w:t>六、</w:t>
      </w:r>
      <w:r>
        <w:rPr>
          <w:rFonts w:hint="eastAsia" w:ascii="Times New Roman" w:hAnsi="Times New Roman" w:eastAsia="黑体"/>
          <w:bCs/>
          <w:kern w:val="44"/>
          <w:sz w:val="32"/>
          <w:szCs w:val="44"/>
          <w:lang w:eastAsia="zh-CN"/>
        </w:rPr>
        <w:t>技术规范</w:t>
      </w:r>
      <w:bookmarkEnd w:id="19"/>
    </w:p>
    <w:p w14:paraId="37DA4990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32" w:firstLineChars="200"/>
        <w:jc w:val="both"/>
        <w:rPr>
          <w:rFonts w:ascii="宋体" w:hAnsi="宋体" w:cs="宋体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7"/>
          <w:sz w:val="28"/>
          <w:szCs w:val="28"/>
          <w:lang w:eastAsia="zh-CN"/>
        </w:rPr>
        <w:t>主要依据相关国家职业技能规范和标准，注重考核基本技能，体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现标准程序，结合生产实际，考核职业综合能</w:t>
      </w:r>
      <w:r>
        <w:rPr>
          <w:rFonts w:ascii="仿宋" w:hAnsi="仿宋" w:eastAsia="仿宋" w:cs="仿宋"/>
          <w:spacing w:val="-7"/>
          <w:sz w:val="28"/>
          <w:szCs w:val="28"/>
          <w:lang w:eastAsia="zh-CN"/>
        </w:rPr>
        <w:t>力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。</w:t>
      </w:r>
    </w:p>
    <w:p w14:paraId="4B3DA09D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4" w:firstLineChars="20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《房屋建筑制图统一标准》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zh-CN"/>
        </w:rPr>
        <w:t>GB/T 50001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zh-CN"/>
        </w:rPr>
        <w:t>-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eastAsia="zh-CN"/>
        </w:rPr>
        <w:t>2017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</w:p>
    <w:p w14:paraId="4C44F5C6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4" w:firstLineChars="20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《总图制图标准》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zh-CN"/>
        </w:rPr>
        <w:t>GB/T 50103-2010</w:t>
      </w:r>
    </w:p>
    <w:p w14:paraId="0C958C51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4" w:firstLineChars="20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《建筑制图标准》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zh-CN"/>
        </w:rPr>
        <w:t>GB/T 50104-2010</w:t>
      </w:r>
    </w:p>
    <w:p w14:paraId="6034BBAB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4" w:firstLineChars="20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《建筑结构制图标准》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zh-CN"/>
        </w:rPr>
        <w:t>GB/T 50105-2010</w:t>
      </w:r>
    </w:p>
    <w:p w14:paraId="62106A75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36" w:firstLineChars="20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《混凝土结构施工图平面整体表示方法制图规则和构造详图（现</w:t>
      </w:r>
      <w:r>
        <w:rPr>
          <w:rFonts w:ascii="仿宋" w:hAnsi="仿宋" w:eastAsia="仿宋" w:cs="仿宋"/>
          <w:spacing w:val="4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浇混凝土框架、剪力墙、梁、板）》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zh-CN"/>
        </w:rPr>
        <w:t>22G101-1</w:t>
      </w:r>
    </w:p>
    <w:p w14:paraId="2AD0F474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36" w:firstLineChars="20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《混凝土结构施工图平面整体表示方法制图规则和构造详图（现</w:t>
      </w:r>
      <w:r>
        <w:rPr>
          <w:rFonts w:ascii="仿宋" w:hAnsi="仿宋" w:eastAsia="仿宋" w:cs="仿宋"/>
          <w:spacing w:val="4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浇混凝土板式楼梯）》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zh-CN"/>
        </w:rPr>
        <w:t>22G101-2</w:t>
      </w:r>
    </w:p>
    <w:p w14:paraId="72465967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36" w:firstLineChars="200"/>
        <w:rPr>
          <w:rFonts w:ascii="Times New Roman" w:hAnsi="Times New Roman" w:eastAsia="Times New Roman" w:cs="Times New Roman"/>
          <w:spacing w:val="7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6"/>
          <w:sz w:val="28"/>
          <w:szCs w:val="28"/>
          <w:lang w:eastAsia="zh-CN"/>
        </w:rPr>
        <w:t>《混凝土结构施工图平面整体表示方法制图规则和构造详图（独立基础、条形基础、筏型基础及桩基承台）》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zh-CN"/>
        </w:rPr>
        <w:t>22G101-3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eastAsia="zh-CN"/>
        </w:rPr>
        <w:t xml:space="preserve"> </w:t>
      </w:r>
    </w:p>
    <w:p w14:paraId="5F37BC75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88" w:firstLineChars="200"/>
        <w:rPr>
          <w:rFonts w:ascii="Times New Roman" w:hAnsi="Times New Roman" w:eastAsia="Times New Roman" w:cs="Times New Roman"/>
          <w:spacing w:val="-5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spacing w:val="7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Times New Roman" w:cs="Times New Roman"/>
          <w:spacing w:val="7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Times New Roman" w:cs="Times New Roman"/>
          <w:spacing w:val="7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《建筑信息模型设计交付标准》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zh-CN"/>
        </w:rPr>
        <w:t>GBT-5130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eastAsia="zh-CN"/>
        </w:rPr>
        <w:t>1-2018</w:t>
      </w:r>
    </w:p>
    <w:p w14:paraId="21ABC0D6">
      <w:pPr>
        <w:keepNext/>
        <w:keepLines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outlineLvl w:val="0"/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</w:pPr>
      <w:bookmarkStart w:id="20" w:name="_Toc17874"/>
      <w:r>
        <w:rPr>
          <w:rFonts w:hint="eastAsia" w:ascii="Times New Roman" w:hAnsi="Times New Roman" w:eastAsia="黑体"/>
          <w:bCs/>
          <w:kern w:val="44"/>
          <w:sz w:val="32"/>
          <w:szCs w:val="44"/>
          <w:lang w:val="en-US" w:eastAsia="zh-CN"/>
        </w:rPr>
        <w:t>七、</w:t>
      </w:r>
      <w:r>
        <w:rPr>
          <w:rFonts w:hint="eastAsia" w:ascii="Times New Roman" w:hAnsi="Times New Roman" w:eastAsia="黑体"/>
          <w:bCs/>
          <w:kern w:val="44"/>
          <w:sz w:val="32"/>
          <w:szCs w:val="44"/>
          <w:lang w:eastAsia="zh-CN"/>
        </w:rPr>
        <w:t>成绩评定</w:t>
      </w:r>
      <w:bookmarkEnd w:id="20"/>
    </w:p>
    <w:p w14:paraId="2899C7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firstLine="560" w:firstLineChars="200"/>
        <w:textAlignment w:val="baseline"/>
        <w:rPr>
          <w:rFonts w:hint="eastAsia" w:ascii="Times New Roman" w:hAnsi="Times New Roman" w:eastAsia="仿宋" w:cs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建筑工程识图以及建筑工程制图部分根据竞赛成果采用</w:t>
      </w:r>
      <w:r>
        <w:rPr>
          <w:rFonts w:ascii="Times New Roman" w:hAnsi="Times New Roman" w:eastAsia="仿宋" w:cs="仿宋"/>
          <w:sz w:val="28"/>
          <w:szCs w:val="28"/>
          <w:lang w:eastAsia="zh-CN"/>
        </w:rPr>
        <w:t>人工评判模式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，裁判组依据赛题评分标准和答案，根据选手成果评判</w:t>
      </w:r>
      <w:r>
        <w:rPr>
          <w:rFonts w:ascii="Times New Roman" w:hAnsi="Times New Roman" w:eastAsia="仿宋" w:cs="仿宋"/>
          <w:sz w:val="28"/>
          <w:szCs w:val="28"/>
          <w:lang w:eastAsia="zh-CN"/>
        </w:rPr>
        <w:t>。</w:t>
      </w:r>
      <w:bookmarkStart w:id="22" w:name="_GoBack"/>
      <w:bookmarkEnd w:id="22"/>
    </w:p>
    <w:p w14:paraId="4F515A29">
      <w:pPr>
        <w:keepNext/>
        <w:keepLines/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640" w:firstLineChars="200"/>
        <w:outlineLvl w:val="0"/>
        <w:rPr>
          <w:rFonts w:ascii="Times New Roman" w:hAnsi="Times New Roman" w:eastAsia="黑体"/>
          <w:bCs/>
          <w:kern w:val="44"/>
          <w:sz w:val="32"/>
          <w:szCs w:val="44"/>
          <w:lang w:eastAsia="zh-CN"/>
        </w:rPr>
      </w:pPr>
      <w:bookmarkStart w:id="21" w:name="_Toc25917"/>
      <w:r>
        <w:rPr>
          <w:rFonts w:hint="eastAsia" w:ascii="Times New Roman" w:hAnsi="Times New Roman" w:eastAsia="黑体"/>
          <w:bCs/>
          <w:kern w:val="44"/>
          <w:sz w:val="32"/>
          <w:szCs w:val="44"/>
          <w:lang w:val="en-US" w:eastAsia="zh-CN"/>
        </w:rPr>
        <w:t>八、</w:t>
      </w:r>
      <w:r>
        <w:rPr>
          <w:rFonts w:hint="eastAsia" w:ascii="Times New Roman" w:hAnsi="Times New Roman" w:eastAsia="黑体"/>
          <w:bCs/>
          <w:kern w:val="44"/>
          <w:sz w:val="32"/>
          <w:szCs w:val="44"/>
          <w:lang w:eastAsia="zh-CN"/>
        </w:rPr>
        <w:t>奖项设置</w:t>
      </w:r>
      <w:bookmarkEnd w:id="21"/>
    </w:p>
    <w:p w14:paraId="4CB1FD76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60" w:firstLineChars="200"/>
        <w:rPr>
          <w:rFonts w:ascii="Times New Roman" w:hAnsi="Times New Roman" w:eastAsia="仿宋" w:cs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校级技能竞赛各赛项设一、二、三等奖，获奖比例不超过实际参赛队伍数量的10%、15%、25%。</w:t>
      </w:r>
    </w:p>
    <w:p w14:paraId="278851A1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60" w:firstLineChars="200"/>
        <w:rPr>
          <w:rFonts w:hint="eastAsia" w:ascii="Times New Roman" w:hAnsi="Times New Roman" w:eastAsia="仿宋" w:cs="仿宋"/>
          <w:sz w:val="28"/>
          <w:szCs w:val="28"/>
          <w:lang w:eastAsia="zh-CN"/>
        </w:rPr>
      </w:pPr>
    </w:p>
    <w:p w14:paraId="2DB6275B">
      <w:pPr>
        <w:pageBreakBefore w:val="0"/>
        <w:wordWrap/>
        <w:overflowPunct/>
        <w:topLinePunct w:val="0"/>
        <w:bidi w:val="0"/>
        <w:spacing w:after="0" w:line="360" w:lineRule="auto"/>
        <w:ind w:left="0" w:leftChars="0" w:right="0" w:firstLine="540" w:firstLineChars="200"/>
        <w:rPr>
          <w:rFonts w:ascii="Times New Roman" w:hAnsi="Times New Roman" w:eastAsia="Times New Roman" w:cs="Times New Roman"/>
          <w:spacing w:val="-5"/>
          <w:sz w:val="28"/>
          <w:szCs w:val="28"/>
          <w:lang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E684B">
    <w:pPr>
      <w:pStyle w:val="16"/>
      <w:framePr w:wrap="auto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 PAGE </w:instrText>
    </w:r>
    <w:r>
      <w:rPr>
        <w:rStyle w:val="28"/>
      </w:rPr>
      <w:fldChar w:fldCharType="separate"/>
    </w:r>
    <w:r>
      <w:rPr>
        <w:rStyle w:val="28"/>
      </w:rPr>
      <w:t>1</w:t>
    </w:r>
    <w:r>
      <w:rPr>
        <w:rStyle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3EFAC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8"/>
      </w:rPr>
      <w:id w:val="-98411852"/>
      <w:docPartObj>
        <w:docPartGallery w:val="autotext"/>
      </w:docPartObj>
    </w:sdtPr>
    <w:sdtEndPr>
      <w:rPr>
        <w:rStyle w:val="28"/>
      </w:rPr>
    </w:sdtEndPr>
    <w:sdtContent>
      <w:p w14:paraId="489D128F">
        <w:pPr>
          <w:pStyle w:val="16"/>
          <w:framePr w:wrap="auto" w:vAnchor="text" w:hAnchor="margin" w:xAlign="center" w:y="1"/>
          <w:rPr>
            <w:rStyle w:val="28"/>
          </w:rPr>
        </w:pPr>
        <w:r>
          <w:rPr>
            <w:rStyle w:val="28"/>
          </w:rPr>
          <w:fldChar w:fldCharType="begin"/>
        </w:r>
        <w:r>
          <w:rPr>
            <w:rStyle w:val="28"/>
          </w:rPr>
          <w:instrText xml:space="preserve"> PAGE </w:instrText>
        </w:r>
        <w:r>
          <w:rPr>
            <w:rStyle w:val="28"/>
          </w:rPr>
          <w:fldChar w:fldCharType="separate"/>
        </w:r>
        <w:r>
          <w:rPr>
            <w:rStyle w:val="28"/>
          </w:rPr>
          <w:t>1</w:t>
        </w:r>
        <w:r>
          <w:rPr>
            <w:rStyle w:val="28"/>
          </w:rPr>
          <w:fldChar w:fldCharType="end"/>
        </w:r>
      </w:p>
    </w:sdtContent>
  </w:sdt>
  <w:p w14:paraId="17BE1F67">
    <w:pPr>
      <w:spacing w:line="169" w:lineRule="auto"/>
      <w:rPr>
        <w:rFonts w:ascii="Calibri" w:hAnsi="Calibri" w:eastAsia="Calibri" w:cs="Calibri"/>
        <w:spacing w:val="-8"/>
        <w:sz w:val="18"/>
        <w:szCs w:val="18"/>
        <w:lang w:eastAsia="zh-CN"/>
      </w:rPr>
    </w:pPr>
  </w:p>
  <w:p w14:paraId="77ECF0D3">
    <w:pPr>
      <w:spacing w:line="169" w:lineRule="auto"/>
      <w:rPr>
        <w:rFonts w:ascii="Calibri" w:hAnsi="Calibri" w:eastAsia="Calibri" w:cs="Calibri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29"/>
    <w:rsid w:val="000A2953"/>
    <w:rsid w:val="000A5582"/>
    <w:rsid w:val="000B37A3"/>
    <w:rsid w:val="002E7BD0"/>
    <w:rsid w:val="00335BA8"/>
    <w:rsid w:val="00366137"/>
    <w:rsid w:val="00587B57"/>
    <w:rsid w:val="005D4329"/>
    <w:rsid w:val="007268FA"/>
    <w:rsid w:val="0074603B"/>
    <w:rsid w:val="007D4EFE"/>
    <w:rsid w:val="00D20C48"/>
    <w:rsid w:val="00D91E6C"/>
    <w:rsid w:val="00EB206B"/>
    <w:rsid w:val="05E711FF"/>
    <w:rsid w:val="08BB280E"/>
    <w:rsid w:val="0BBF43C3"/>
    <w:rsid w:val="0BE04A65"/>
    <w:rsid w:val="0DD203DE"/>
    <w:rsid w:val="0DD26630"/>
    <w:rsid w:val="0E257F76"/>
    <w:rsid w:val="0EBF6A72"/>
    <w:rsid w:val="103A670E"/>
    <w:rsid w:val="10D26947"/>
    <w:rsid w:val="143F0797"/>
    <w:rsid w:val="16C84A74"/>
    <w:rsid w:val="187456AF"/>
    <w:rsid w:val="19D90D46"/>
    <w:rsid w:val="1C291957"/>
    <w:rsid w:val="1C7F5BD5"/>
    <w:rsid w:val="1CE123EB"/>
    <w:rsid w:val="20A538E9"/>
    <w:rsid w:val="23737908"/>
    <w:rsid w:val="23EA427B"/>
    <w:rsid w:val="242524B1"/>
    <w:rsid w:val="2D564E0D"/>
    <w:rsid w:val="2DFD2DFD"/>
    <w:rsid w:val="2FEC4ED7"/>
    <w:rsid w:val="313B4368"/>
    <w:rsid w:val="358D0F0B"/>
    <w:rsid w:val="3D436353"/>
    <w:rsid w:val="3FB5178A"/>
    <w:rsid w:val="40534AFF"/>
    <w:rsid w:val="4054703C"/>
    <w:rsid w:val="40B437EF"/>
    <w:rsid w:val="40B530C4"/>
    <w:rsid w:val="43040332"/>
    <w:rsid w:val="432D1637"/>
    <w:rsid w:val="4447497A"/>
    <w:rsid w:val="44B518E4"/>
    <w:rsid w:val="44E92E1D"/>
    <w:rsid w:val="459736E0"/>
    <w:rsid w:val="47EA7AF7"/>
    <w:rsid w:val="4C2C2DD4"/>
    <w:rsid w:val="4E2D4BE1"/>
    <w:rsid w:val="4E5403C0"/>
    <w:rsid w:val="50C23D07"/>
    <w:rsid w:val="552C5BF2"/>
    <w:rsid w:val="55574057"/>
    <w:rsid w:val="574A05B2"/>
    <w:rsid w:val="57A23F4A"/>
    <w:rsid w:val="59B47F65"/>
    <w:rsid w:val="5A0A0FD8"/>
    <w:rsid w:val="5B9A7671"/>
    <w:rsid w:val="5EA76903"/>
    <w:rsid w:val="60020479"/>
    <w:rsid w:val="61A06A95"/>
    <w:rsid w:val="630C0E11"/>
    <w:rsid w:val="632704EF"/>
    <w:rsid w:val="63CF3776"/>
    <w:rsid w:val="65864EAB"/>
    <w:rsid w:val="66F83B86"/>
    <w:rsid w:val="695525AB"/>
    <w:rsid w:val="6A3C0D7A"/>
    <w:rsid w:val="6D8C5028"/>
    <w:rsid w:val="735465E8"/>
    <w:rsid w:val="76C92E49"/>
    <w:rsid w:val="772A140E"/>
    <w:rsid w:val="7C7A4BE6"/>
    <w:rsid w:val="7D434786"/>
    <w:rsid w:val="7FB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  <w14:ligatures w14:val="none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ind w:firstLine="200" w:firstLineChars="200"/>
      <w:textAlignment w:val="auto"/>
      <w:outlineLvl w:val="1"/>
    </w:pPr>
    <w:rPr>
      <w:rFonts w:eastAsia="黑体" w:asciiTheme="majorHAnsi" w:hAnsiTheme="majorHAnsi" w:cstheme="majorBidi"/>
      <w:snapToGrid/>
      <w:color w:val="000000" w:themeColor="text1"/>
      <w:kern w:val="2"/>
      <w:sz w:val="28"/>
      <w:szCs w:val="40"/>
      <w:lang w:eastAsia="zh-CN"/>
      <w14:textFill>
        <w14:solidFill>
          <w14:schemeClr w14:val="tx1"/>
        </w14:solidFill>
      </w14:textFill>
      <w14:ligatures w14:val="standardContextual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3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semiHidden/>
    <w:unhideWhenUsed/>
    <w:qFormat/>
    <w:uiPriority w:val="39"/>
    <w:pPr>
      <w:spacing w:after="0"/>
    </w:pPr>
    <w:rPr>
      <w:rFonts w:asciiTheme="minorHAnsi" w:eastAsiaTheme="minorHAnsi"/>
      <w:sz w:val="22"/>
      <w:szCs w:val="22"/>
    </w:rPr>
  </w:style>
  <w:style w:type="paragraph" w:styleId="12">
    <w:name w:val="Body Text"/>
    <w:basedOn w:val="1"/>
    <w:link w:val="51"/>
    <w:semiHidden/>
    <w:qFormat/>
    <w:uiPriority w:val="0"/>
    <w:rPr>
      <w:rFonts w:ascii="黑体" w:hAnsi="黑体" w:eastAsia="黑体" w:cs="黑体"/>
      <w:sz w:val="31"/>
      <w:szCs w:val="31"/>
    </w:rPr>
  </w:style>
  <w:style w:type="paragraph" w:styleId="13">
    <w:name w:val="toc 5"/>
    <w:basedOn w:val="1"/>
    <w:next w:val="1"/>
    <w:autoRedefine/>
    <w:semiHidden/>
    <w:unhideWhenUsed/>
    <w:qFormat/>
    <w:uiPriority w:val="39"/>
    <w:pPr>
      <w:spacing w:after="0"/>
    </w:pPr>
    <w:rPr>
      <w:rFonts w:asciiTheme="minorHAnsi" w:eastAsiaTheme="minorHAnsi"/>
      <w:sz w:val="22"/>
      <w:szCs w:val="22"/>
    </w:rPr>
  </w:style>
  <w:style w:type="paragraph" w:styleId="14">
    <w:name w:val="toc 3"/>
    <w:basedOn w:val="1"/>
    <w:next w:val="1"/>
    <w:autoRedefine/>
    <w:unhideWhenUsed/>
    <w:qFormat/>
    <w:uiPriority w:val="39"/>
    <w:pPr>
      <w:spacing w:after="0"/>
    </w:pPr>
    <w:rPr>
      <w:rFonts w:asciiTheme="minorHAnsi" w:eastAsiaTheme="minorHAnsi"/>
      <w:smallCaps/>
      <w:sz w:val="22"/>
      <w:szCs w:val="22"/>
    </w:rPr>
  </w:style>
  <w:style w:type="paragraph" w:styleId="15">
    <w:name w:val="toc 8"/>
    <w:basedOn w:val="1"/>
    <w:next w:val="1"/>
    <w:autoRedefine/>
    <w:semiHidden/>
    <w:unhideWhenUsed/>
    <w:qFormat/>
    <w:uiPriority w:val="39"/>
    <w:pPr>
      <w:spacing w:after="0"/>
    </w:pPr>
    <w:rPr>
      <w:rFonts w:asciiTheme="minorHAnsi" w:eastAsiaTheme="minorHAnsi"/>
      <w:sz w:val="22"/>
      <w:szCs w:val="22"/>
    </w:rPr>
  </w:style>
  <w:style w:type="paragraph" w:styleId="16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unhideWhenUsed/>
    <w:qFormat/>
    <w:uiPriority w:val="39"/>
    <w:pPr>
      <w:spacing w:after="0"/>
    </w:pPr>
    <w:rPr>
      <w:rFonts w:eastAsia="仿宋" w:asciiTheme="minorHAnsi"/>
      <w:b/>
      <w:bCs/>
      <w:caps/>
      <w:sz w:val="22"/>
      <w:szCs w:val="22"/>
    </w:rPr>
  </w:style>
  <w:style w:type="paragraph" w:styleId="19">
    <w:name w:val="toc 4"/>
    <w:basedOn w:val="1"/>
    <w:next w:val="1"/>
    <w:autoRedefine/>
    <w:semiHidden/>
    <w:unhideWhenUsed/>
    <w:qFormat/>
    <w:uiPriority w:val="39"/>
    <w:pPr>
      <w:spacing w:after="0"/>
    </w:pPr>
    <w:rPr>
      <w:rFonts w:asciiTheme="minorHAnsi" w:eastAsiaTheme="minorHAnsi"/>
      <w:sz w:val="22"/>
      <w:szCs w:val="22"/>
    </w:rPr>
  </w:style>
  <w:style w:type="paragraph" w:styleId="20">
    <w:name w:val="Subtitle"/>
    <w:basedOn w:val="1"/>
    <w:next w:val="1"/>
    <w:link w:val="4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1">
    <w:name w:val="toc 6"/>
    <w:basedOn w:val="1"/>
    <w:next w:val="1"/>
    <w:autoRedefine/>
    <w:semiHidden/>
    <w:unhideWhenUsed/>
    <w:qFormat/>
    <w:uiPriority w:val="39"/>
    <w:pPr>
      <w:spacing w:after="0"/>
    </w:pPr>
    <w:rPr>
      <w:rFonts w:asciiTheme="minorHAnsi" w:eastAsiaTheme="minorHAnsi"/>
      <w:sz w:val="22"/>
      <w:szCs w:val="22"/>
    </w:rPr>
  </w:style>
  <w:style w:type="paragraph" w:styleId="22">
    <w:name w:val="toc 2"/>
    <w:basedOn w:val="1"/>
    <w:next w:val="1"/>
    <w:autoRedefine/>
    <w:unhideWhenUsed/>
    <w:qFormat/>
    <w:uiPriority w:val="39"/>
    <w:pPr>
      <w:spacing w:after="0"/>
    </w:pPr>
    <w:rPr>
      <w:rFonts w:asciiTheme="minorHAnsi" w:eastAsiaTheme="minorHAnsi"/>
      <w:b/>
      <w:bCs/>
      <w:smallCaps/>
      <w:sz w:val="22"/>
      <w:szCs w:val="22"/>
    </w:rPr>
  </w:style>
  <w:style w:type="paragraph" w:styleId="23">
    <w:name w:val="toc 9"/>
    <w:basedOn w:val="1"/>
    <w:next w:val="1"/>
    <w:autoRedefine/>
    <w:semiHidden/>
    <w:unhideWhenUsed/>
    <w:qFormat/>
    <w:uiPriority w:val="39"/>
    <w:pPr>
      <w:spacing w:after="0"/>
    </w:pPr>
    <w:rPr>
      <w:rFonts w:asciiTheme="minorHAnsi" w:eastAsiaTheme="minorHAnsi"/>
      <w:sz w:val="22"/>
      <w:szCs w:val="22"/>
    </w:rPr>
  </w:style>
  <w:style w:type="paragraph" w:styleId="24">
    <w:name w:val="Title"/>
    <w:basedOn w:val="1"/>
    <w:next w:val="1"/>
    <w:link w:val="3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6">
    <w:name w:val="Table Grid"/>
    <w:basedOn w:val="2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page number"/>
    <w:basedOn w:val="27"/>
    <w:semiHidden/>
    <w:unhideWhenUsed/>
    <w:qFormat/>
    <w:uiPriority w:val="99"/>
  </w:style>
  <w:style w:type="character" w:styleId="29">
    <w:name w:val="Hyperlink"/>
    <w:basedOn w:val="2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30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31">
    <w:name w:val="标题 2 字符"/>
    <w:basedOn w:val="27"/>
    <w:link w:val="3"/>
    <w:qFormat/>
    <w:uiPriority w:val="9"/>
    <w:rPr>
      <w:rFonts w:eastAsia="黑体" w:asciiTheme="majorHAnsi" w:hAnsiTheme="majorHAnsi" w:cstheme="majorBidi"/>
      <w:color w:val="000000" w:themeColor="text1"/>
      <w:sz w:val="28"/>
      <w:szCs w:val="40"/>
      <w14:textFill>
        <w14:solidFill>
          <w14:schemeClr w14:val="tx1"/>
        </w14:solidFill>
      </w14:textFill>
    </w:rPr>
  </w:style>
  <w:style w:type="character" w:customStyle="1" w:styleId="32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33">
    <w:name w:val="标题 4 字符"/>
    <w:basedOn w:val="2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4">
    <w:name w:val="标题 5 字符"/>
    <w:basedOn w:val="2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35">
    <w:name w:val="标题 6 字符"/>
    <w:basedOn w:val="2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6">
    <w:name w:val="标题 7 字符"/>
    <w:basedOn w:val="2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标题 8 字符"/>
    <w:basedOn w:val="2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标题 9 字符"/>
    <w:basedOn w:val="2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标题 字符"/>
    <w:basedOn w:val="27"/>
    <w:link w:val="2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0">
    <w:name w:val="副标题 字符"/>
    <w:basedOn w:val="27"/>
    <w:link w:val="20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1">
    <w:name w:val="Quote"/>
    <w:basedOn w:val="1"/>
    <w:next w:val="1"/>
    <w:link w:val="4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引用 字符"/>
    <w:basedOn w:val="27"/>
    <w:link w:val="4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Intense Emphasis"/>
    <w:basedOn w:val="27"/>
    <w:qFormat/>
    <w:uiPriority w:val="21"/>
    <w:rPr>
      <w:i/>
      <w:iCs/>
      <w:color w:val="104862" w:themeColor="accent1" w:themeShade="BF"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6">
    <w:name w:val="明显引用 字符"/>
    <w:basedOn w:val="27"/>
    <w:link w:val="45"/>
    <w:qFormat/>
    <w:uiPriority w:val="30"/>
    <w:rPr>
      <w:i/>
      <w:iCs/>
      <w:color w:val="104862" w:themeColor="accent1" w:themeShade="BF"/>
    </w:rPr>
  </w:style>
  <w:style w:type="character" w:customStyle="1" w:styleId="47">
    <w:name w:val="Intense Reference"/>
    <w:basedOn w:val="2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8">
    <w:name w:val="页眉 字符"/>
    <w:basedOn w:val="27"/>
    <w:link w:val="17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  <w:lang w:eastAsia="en-US"/>
      <w14:ligatures w14:val="none"/>
    </w:rPr>
  </w:style>
  <w:style w:type="character" w:customStyle="1" w:styleId="49">
    <w:name w:val="页脚 字符"/>
    <w:basedOn w:val="27"/>
    <w:link w:val="16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  <w:lang w:eastAsia="en-US"/>
      <w14:ligatures w14:val="none"/>
    </w:rPr>
  </w:style>
  <w:style w:type="table" w:customStyle="1" w:styleId="50">
    <w:name w:val="Table Normal"/>
    <w:semiHidden/>
    <w:unhideWhenUsed/>
    <w:qFormat/>
    <w:uiPriority w:val="0"/>
    <w:rPr>
      <w:rFonts w:ascii="Arial" w:hAnsi="Arial" w:eastAsia="宋体" w:cs="Arial"/>
      <w:snapToGrid w:val="0"/>
      <w:color w:val="000000"/>
      <w:kern w:val="0"/>
      <w:sz w:val="21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正文文本 字符"/>
    <w:basedOn w:val="27"/>
    <w:link w:val="12"/>
    <w:semiHidden/>
    <w:qFormat/>
    <w:uiPriority w:val="0"/>
    <w:rPr>
      <w:rFonts w:ascii="黑体" w:hAnsi="黑体" w:eastAsia="黑体" w:cs="黑体"/>
      <w:snapToGrid w:val="0"/>
      <w:color w:val="000000"/>
      <w:kern w:val="0"/>
      <w:sz w:val="31"/>
      <w:szCs w:val="31"/>
      <w:lang w:eastAsia="en-US"/>
      <w14:ligatures w14:val="none"/>
    </w:rPr>
  </w:style>
  <w:style w:type="paragraph" w:customStyle="1" w:styleId="5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customStyle="1" w:styleId="53">
    <w:name w:val="TOC Heading"/>
    <w:basedOn w:val="2"/>
    <w:next w:val="1"/>
    <w:unhideWhenUsed/>
    <w:qFormat/>
    <w:uiPriority w:val="39"/>
    <w:pPr>
      <w:kinsoku/>
      <w:autoSpaceDE/>
      <w:autoSpaceDN/>
      <w:adjustRightInd/>
      <w:snapToGrid/>
      <w:spacing w:after="0" w:line="276" w:lineRule="auto"/>
      <w:textAlignment w:val="auto"/>
      <w:outlineLvl w:val="9"/>
    </w:pPr>
    <w:rPr>
      <w:b/>
      <w:bCs/>
      <w:snapToGrid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1154</Words>
  <Characters>1294</Characters>
  <Lines>20</Lines>
  <Paragraphs>5</Paragraphs>
  <TotalTime>0</TotalTime>
  <ScaleCrop>false</ScaleCrop>
  <LinksUpToDate>false</LinksUpToDate>
  <CharactersWithSpaces>1335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2024-11-21T10:57:00Z</dcterms:created>
  <dc:creator>6633</dc:creator>
  <cp:lastModifiedBy>mfabilyf</cp:lastModifiedBy>
  <dcterms:modified xsi:type="dcterms:W3CDTF">2024-11-25T06:32:35Z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0B031B0A77BD47F0B4CB085A7583EC2B_12</vt:lpwstr>
  </property>
</Properties>
</file>