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37123">
      <w:pPr>
        <w:pStyle w:val="5"/>
        <w:widowControl/>
        <w:shd w:val="clear" w:color="auto" w:fill="FFFFFF"/>
        <w:spacing w:before="100" w:beforeAutospacing="0" w:after="70" w:afterAutospacing="0" w:line="20" w:lineRule="atLeast"/>
        <w:rPr>
          <w:rFonts w:ascii="sans-serif" w:hAnsi="sans-serif" w:eastAsia="sans-serif" w:cs="sans-serif"/>
          <w:color w:val="333333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Cs/>
          <w:color w:val="333333"/>
          <w:sz w:val="21"/>
          <w:szCs w:val="21"/>
          <w:shd w:val="clear" w:color="auto" w:fill="FFFFFF"/>
        </w:rPr>
        <w:t>竞赛时间安排与流程</w:t>
      </w:r>
    </w:p>
    <w:tbl>
      <w:tblPr>
        <w:tblStyle w:val="6"/>
        <w:tblW w:w="827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320"/>
        <w:gridCol w:w="3874"/>
        <w:gridCol w:w="2059"/>
      </w:tblGrid>
      <w:tr w14:paraId="40FE4A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7084E06">
            <w:pPr>
              <w:pStyle w:val="5"/>
              <w:widowControl/>
              <w:spacing w:beforeAutospacing="0" w:after="100" w:afterAutospacing="0" w:line="340" w:lineRule="atLeast"/>
              <w:ind w:firstLine="420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日期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A2FE86F">
            <w:pPr>
              <w:pStyle w:val="5"/>
              <w:widowControl/>
              <w:spacing w:beforeAutospacing="0" w:after="100" w:afterAutospacing="0" w:line="340" w:lineRule="atLeast"/>
              <w:ind w:firstLine="420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时间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3D952CE">
            <w:pPr>
              <w:pStyle w:val="5"/>
              <w:widowControl/>
              <w:spacing w:beforeAutospacing="0" w:after="100" w:afterAutospacing="0" w:line="340" w:lineRule="atLeast"/>
              <w:ind w:firstLine="420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主要内容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7E6E5FF">
            <w:pPr>
              <w:pStyle w:val="5"/>
              <w:widowControl/>
              <w:spacing w:beforeAutospacing="0" w:after="100" w:afterAutospacing="0" w:line="340" w:lineRule="atLeast"/>
              <w:ind w:firstLine="420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地点</w:t>
            </w:r>
          </w:p>
        </w:tc>
      </w:tr>
      <w:tr w14:paraId="651A87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20EE5C">
            <w:pPr>
              <w:pStyle w:val="5"/>
              <w:widowControl/>
              <w:spacing w:beforeAutospacing="0" w:after="100" w:afterAutospacing="0" w:line="340" w:lineRule="atLeast"/>
              <w:ind w:firstLine="420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11月25日前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B7E3D9">
            <w:pPr>
              <w:pStyle w:val="5"/>
              <w:widowControl/>
              <w:spacing w:beforeAutospacing="0" w:after="100" w:afterAutospacing="0" w:line="160" w:lineRule="atLeast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完成比赛报名</w:t>
            </w:r>
          </w:p>
        </w:tc>
        <w:tc>
          <w:tcPr>
            <w:tcW w:w="205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E47A99">
            <w:pPr>
              <w:rPr>
                <w:rFonts w:hint="eastAsia" w:ascii="sans-serif" w:hAnsi="sans-serif" w:eastAsia="宋体" w:cs="sans-seri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东南校区东风楼西测量实训基地（天气变化调整另行通知）</w:t>
            </w:r>
          </w:p>
        </w:tc>
      </w:tr>
      <w:tr w14:paraId="48686B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7C92A5">
            <w:pPr>
              <w:rPr>
                <w:rFonts w:ascii="sans-serif" w:hAnsi="sans-serif" w:eastAsia="sans-serif" w:cs="sans-seri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11月29日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B85D35">
            <w:pPr>
              <w:pStyle w:val="5"/>
              <w:widowControl/>
              <w:spacing w:beforeAutospacing="0" w:after="100" w:afterAutospacing="0" w:line="340" w:lineRule="atLeast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15：30-16：30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73040D">
            <w:pPr>
              <w:pStyle w:val="5"/>
              <w:widowControl/>
              <w:spacing w:beforeAutospacing="0" w:after="100" w:afterAutospacing="0" w:line="160" w:lineRule="atLeast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选手熟悉比赛场地</w:t>
            </w:r>
          </w:p>
        </w:tc>
        <w:tc>
          <w:tcPr>
            <w:tcW w:w="20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C9ED3F">
            <w:pPr>
              <w:rPr>
                <w:rFonts w:ascii="sans-serif" w:hAnsi="sans-serif" w:eastAsia="sans-serif" w:cs="sans-serif"/>
                <w:sz w:val="21"/>
                <w:szCs w:val="21"/>
              </w:rPr>
            </w:pPr>
          </w:p>
        </w:tc>
      </w:tr>
      <w:tr w14:paraId="14B3F0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207256">
            <w:pPr>
              <w:pStyle w:val="5"/>
              <w:widowControl/>
              <w:spacing w:beforeAutospacing="0" w:after="100" w:afterAutospacing="0" w:line="340" w:lineRule="atLeast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11月30日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A417CC">
            <w:pPr>
              <w:pStyle w:val="5"/>
              <w:widowControl/>
              <w:spacing w:beforeAutospacing="0" w:after="100" w:afterAutospacing="0" w:line="340" w:lineRule="atLeast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7：00 -20：00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BA4A56">
            <w:pPr>
              <w:pStyle w:val="5"/>
              <w:widowControl/>
              <w:spacing w:beforeAutospacing="0" w:after="100" w:afterAutospacing="0" w:line="160" w:lineRule="atLeast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参赛队伍检录、加密、正式比赛、裁判评分</w:t>
            </w:r>
          </w:p>
        </w:tc>
        <w:tc>
          <w:tcPr>
            <w:tcW w:w="20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3C45C6">
            <w:pPr>
              <w:rPr>
                <w:rFonts w:ascii="sans-serif" w:hAnsi="sans-serif" w:eastAsia="sans-serif" w:cs="sans-serif"/>
                <w:sz w:val="21"/>
                <w:szCs w:val="21"/>
              </w:rPr>
            </w:pPr>
          </w:p>
        </w:tc>
      </w:tr>
      <w:tr w14:paraId="39EADB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B42400">
            <w:pPr>
              <w:rPr>
                <w:rFonts w:ascii="sans-serif" w:hAnsi="sans-serif" w:eastAsia="sans-serif" w:cs="sans-serif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CDBC64">
            <w:pPr>
              <w:pStyle w:val="5"/>
              <w:widowControl/>
              <w:spacing w:beforeAutospacing="0" w:after="100" w:afterAutospacing="0" w:line="340" w:lineRule="atLeast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21：00 -22：00</w:t>
            </w:r>
          </w:p>
        </w:tc>
        <w:tc>
          <w:tcPr>
            <w:tcW w:w="38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8E36BC">
            <w:pPr>
              <w:pStyle w:val="5"/>
              <w:widowControl/>
              <w:spacing w:beforeAutospacing="0" w:after="100" w:afterAutospacing="0" w:line="340" w:lineRule="atLeast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成绩汇总、公示</w:t>
            </w:r>
          </w:p>
        </w:tc>
        <w:tc>
          <w:tcPr>
            <w:tcW w:w="20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7F75FC">
            <w:pPr>
              <w:rPr>
                <w:rFonts w:ascii="sans-serif" w:hAnsi="sans-serif" w:eastAsia="sans-serif" w:cs="sans-serif"/>
                <w:sz w:val="21"/>
                <w:szCs w:val="21"/>
              </w:rPr>
            </w:pPr>
          </w:p>
        </w:tc>
      </w:tr>
    </w:tbl>
    <w:p w14:paraId="0323FD55">
      <w:pPr>
        <w:pStyle w:val="5"/>
        <w:widowControl/>
        <w:shd w:val="clear" w:color="auto" w:fill="FFFFFF"/>
        <w:spacing w:before="100" w:beforeAutospacing="0" w:after="70" w:afterAutospacing="0" w:line="20" w:lineRule="atLeast"/>
        <w:rPr>
          <w:rFonts w:ascii="sans-serif" w:hAnsi="sans-serif" w:eastAsia="sans-serif" w:cs="sans-serif"/>
          <w:color w:val="333333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bCs/>
          <w:color w:val="333333"/>
          <w:sz w:val="21"/>
          <w:szCs w:val="21"/>
          <w:shd w:val="clear" w:color="auto" w:fill="FFFFFF"/>
        </w:rPr>
        <w:t>评分标准制定原则、评分方法、评分细则</w:t>
      </w:r>
    </w:p>
    <w:tbl>
      <w:tblPr>
        <w:tblStyle w:val="6"/>
        <w:tblW w:w="827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30"/>
        <w:gridCol w:w="5274"/>
        <w:gridCol w:w="600"/>
        <w:gridCol w:w="609"/>
      </w:tblGrid>
      <w:tr w14:paraId="36DD7A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CC78AF">
            <w:pPr>
              <w:pStyle w:val="5"/>
              <w:widowControl/>
              <w:spacing w:beforeAutospacing="0" w:after="100" w:afterAutospacing="0" w:line="20" w:lineRule="atLeast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313B64">
            <w:pPr>
              <w:pStyle w:val="5"/>
              <w:widowControl/>
              <w:spacing w:beforeAutospacing="0" w:after="100" w:afterAutospacing="0" w:line="20" w:lineRule="atLeast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评分项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925157">
            <w:pPr>
              <w:pStyle w:val="5"/>
              <w:widowControl/>
              <w:spacing w:beforeAutospacing="0" w:after="100" w:afterAutospacing="0" w:line="20" w:lineRule="atLeast"/>
              <w:ind w:firstLine="420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评分细则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17E4CF">
            <w:pPr>
              <w:pStyle w:val="5"/>
              <w:widowControl/>
              <w:spacing w:beforeAutospacing="0" w:after="100" w:afterAutospacing="0" w:line="20" w:lineRule="atLeast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分值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C308D5">
            <w:pPr>
              <w:pStyle w:val="5"/>
              <w:widowControl/>
              <w:spacing w:beforeAutospacing="0" w:after="100" w:afterAutospacing="0" w:line="20" w:lineRule="atLeast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得分</w:t>
            </w:r>
          </w:p>
        </w:tc>
      </w:tr>
      <w:tr w14:paraId="00D128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F506AA">
            <w:pPr>
              <w:pStyle w:val="5"/>
              <w:widowControl/>
              <w:spacing w:beforeAutospacing="0" w:after="100" w:afterAutospacing="0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</w:t>
            </w:r>
          </w:p>
        </w:tc>
        <w:tc>
          <w:tcPr>
            <w:tcW w:w="1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37A3EB">
            <w:pPr>
              <w:pStyle w:val="5"/>
              <w:widowControl/>
              <w:spacing w:beforeAutospacing="0" w:after="100" w:afterAutospacing="0"/>
              <w:jc w:val="both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技能水平</w:t>
            </w:r>
          </w:p>
        </w:tc>
        <w:tc>
          <w:tcPr>
            <w:tcW w:w="5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D65D48">
            <w:pPr>
              <w:tabs>
                <w:tab w:val="left" w:pos="452"/>
              </w:tabs>
              <w:autoSpaceDE w:val="0"/>
              <w:autoSpaceDN w:val="0"/>
              <w:spacing w:before="17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1.熟练掌握本专业或工作岗位的技能。</w:t>
            </w:r>
          </w:p>
          <w:p w14:paraId="1334BAC7">
            <w:pPr>
              <w:tabs>
                <w:tab w:val="left" w:pos="452"/>
              </w:tabs>
              <w:autoSpaceDE w:val="0"/>
              <w:autoSpaceDN w:val="0"/>
              <w:spacing w:before="17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2.技能操作规范，符合行业和岗位标准。</w:t>
            </w:r>
          </w:p>
          <w:p w14:paraId="24797524">
            <w:pPr>
              <w:tabs>
                <w:tab w:val="left" w:pos="452"/>
              </w:tabs>
              <w:autoSpaceDE w:val="0"/>
              <w:autoSpaceDN w:val="0"/>
              <w:spacing w:before="17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3.具备较高的技能操作水平及解决复杂问题的综合能力。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6E6CBF">
            <w:pPr>
              <w:pStyle w:val="5"/>
              <w:widowControl/>
              <w:spacing w:beforeAutospacing="0" w:after="100" w:afterAutospacing="0"/>
              <w:jc w:val="center"/>
              <w:rPr>
                <w:rFonts w:hint="eastAsia" w:ascii="sans-serif" w:hAnsi="sans-serif" w:eastAsia="宋体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60</w:t>
            </w:r>
          </w:p>
        </w:tc>
        <w:tc>
          <w:tcPr>
            <w:tcW w:w="6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BD592C">
            <w:pPr>
              <w:pStyle w:val="5"/>
              <w:widowControl/>
              <w:spacing w:beforeAutospacing="0" w:after="100" w:afterAutospacing="0"/>
              <w:ind w:firstLine="420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  </w:t>
            </w:r>
          </w:p>
        </w:tc>
      </w:tr>
      <w:tr w14:paraId="7F744A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9DBC89">
            <w:pPr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8A30E1">
            <w:pPr>
              <w:autoSpaceDE w:val="0"/>
              <w:autoSpaceDN w:val="0"/>
              <w:spacing w:before="141"/>
              <w:ind w:right="179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职业素养</w:t>
            </w:r>
          </w:p>
        </w:tc>
        <w:tc>
          <w:tcPr>
            <w:tcW w:w="5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16305B">
            <w:pPr>
              <w:tabs>
                <w:tab w:val="left" w:pos="452"/>
              </w:tabs>
              <w:autoSpaceDE w:val="0"/>
              <w:autoSpaceDN w:val="0"/>
              <w:spacing w:before="17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1.展现较好的职业伦理，具有工匠精神。</w:t>
            </w:r>
          </w:p>
          <w:p w14:paraId="31B1788C">
            <w:pPr>
              <w:tabs>
                <w:tab w:val="left" w:pos="398"/>
              </w:tabs>
              <w:autoSpaceDE w:val="0"/>
              <w:autoSpaceDN w:val="0"/>
              <w:ind w:right="91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2.展现学校对学生全面培养、基本素养培育和成长发展的成效。</w:t>
            </w:r>
          </w:p>
          <w:p w14:paraId="0E7A723C">
            <w:pPr>
              <w:tabs>
                <w:tab w:val="left" w:pos="397"/>
              </w:tabs>
              <w:autoSpaceDE w:val="0"/>
              <w:autoSpaceDN w:val="0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3.展现职业教育育人成果，体现产教融合、科教融汇。</w:t>
            </w:r>
          </w:p>
          <w:p w14:paraId="1C3FED64">
            <w:pPr>
              <w:autoSpaceDE w:val="0"/>
              <w:autoSpaceDN w:val="0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4.具备良好的职业道德、职业精神、职业素养。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85EA22">
            <w:pPr>
              <w:pStyle w:val="5"/>
              <w:widowControl/>
              <w:spacing w:beforeAutospacing="0" w:after="100" w:afterAutospacing="0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10</w:t>
            </w:r>
          </w:p>
        </w:tc>
        <w:tc>
          <w:tcPr>
            <w:tcW w:w="6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A3C948">
            <w:pPr>
              <w:pStyle w:val="5"/>
              <w:widowControl/>
              <w:spacing w:beforeAutospacing="0" w:after="100" w:afterAutospacing="0"/>
              <w:ind w:firstLine="420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 w14:paraId="555604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B139EC">
            <w:pPr>
              <w:jc w:val="center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6A118D">
            <w:pPr>
              <w:autoSpaceDE w:val="0"/>
              <w:autoSpaceDN w:val="0"/>
              <w:spacing w:before="1"/>
              <w:ind w:right="212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应用价值</w:t>
            </w:r>
          </w:p>
        </w:tc>
        <w:tc>
          <w:tcPr>
            <w:tcW w:w="5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437C6C">
            <w:pPr>
              <w:tabs>
                <w:tab w:val="left" w:pos="452"/>
              </w:tabs>
              <w:autoSpaceDE w:val="0"/>
              <w:autoSpaceDN w:val="0"/>
              <w:spacing w:before="17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1.有助于解决生产一线实际问题或现实困难。</w:t>
            </w:r>
          </w:p>
          <w:p w14:paraId="63BFF956">
            <w:pPr>
              <w:tabs>
                <w:tab w:val="left" w:pos="452"/>
              </w:tabs>
              <w:autoSpaceDE w:val="0"/>
              <w:autoSpaceDN w:val="0"/>
              <w:spacing w:before="17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2.能够促进职业学校学生高质量就业，包括直接间接推动扩大就业规模等。</w:t>
            </w:r>
          </w:p>
          <w:p w14:paraId="09537F68">
            <w:pPr>
              <w:tabs>
                <w:tab w:val="left" w:pos="452"/>
              </w:tabs>
              <w:autoSpaceDE w:val="0"/>
              <w:autoSpaceDN w:val="0"/>
              <w:spacing w:before="17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3.对推动产业转型升级、区域经济发展、乡村振兴、城市社区治理、城乡融合发展等具有积极作用。</w:t>
            </w:r>
          </w:p>
          <w:p w14:paraId="6416AEDC">
            <w:pPr>
              <w:tabs>
                <w:tab w:val="left" w:pos="452"/>
              </w:tabs>
              <w:autoSpaceDE w:val="0"/>
              <w:autoSpaceDN w:val="0"/>
              <w:spacing w:before="17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4.符合绿色低碳节能的可待续发展理念，有利千改善人民生活、提升人民生活质量。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458012">
            <w:pPr>
              <w:pStyle w:val="5"/>
              <w:widowControl/>
              <w:spacing w:beforeAutospacing="0" w:after="100" w:afterAutospacing="0"/>
              <w:jc w:val="center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10</w:t>
            </w:r>
          </w:p>
        </w:tc>
        <w:tc>
          <w:tcPr>
            <w:tcW w:w="6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B944C8">
            <w:pPr>
              <w:pStyle w:val="5"/>
              <w:widowControl/>
              <w:spacing w:beforeAutospacing="0" w:after="100" w:afterAutospacing="0"/>
              <w:ind w:firstLine="420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 </w:t>
            </w:r>
          </w:p>
        </w:tc>
      </w:tr>
      <w:tr w14:paraId="2D3916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71DC2E">
            <w:pPr>
              <w:pStyle w:val="5"/>
              <w:widowControl/>
              <w:spacing w:beforeAutospacing="0" w:after="100" w:afterAutospacing="0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bidi="ar"/>
              </w:rPr>
              <w:t>4</w:t>
            </w:r>
          </w:p>
        </w:tc>
        <w:tc>
          <w:tcPr>
            <w:tcW w:w="1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26AC1A">
            <w:pPr>
              <w:pStyle w:val="5"/>
              <w:widowControl/>
              <w:spacing w:beforeAutospacing="0" w:after="100" w:afterAutospacing="0"/>
              <w:jc w:val="both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bidi="ar"/>
              </w:rPr>
              <w:t>团队合作</w:t>
            </w:r>
          </w:p>
        </w:tc>
        <w:tc>
          <w:tcPr>
            <w:tcW w:w="5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A5185A">
            <w:pPr>
              <w:tabs>
                <w:tab w:val="left" w:pos="452"/>
              </w:tabs>
              <w:autoSpaceDE w:val="0"/>
              <w:autoSpaceDN w:val="0"/>
              <w:spacing w:before="17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1.团队成员能够准确理解共同目标和任务，清楚自己的角色定位和职责。</w:t>
            </w:r>
          </w:p>
          <w:p w14:paraId="156CA130">
            <w:pPr>
              <w:tabs>
                <w:tab w:val="left" w:pos="452"/>
              </w:tabs>
              <w:autoSpaceDE w:val="0"/>
              <w:autoSpaceDN w:val="0"/>
              <w:spacing w:before="17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2.团队成员在比赛中能够有效沟通、紧密协作。</w:t>
            </w:r>
          </w:p>
          <w:p w14:paraId="2F745044">
            <w:pPr>
              <w:tabs>
                <w:tab w:val="left" w:pos="452"/>
              </w:tabs>
              <w:autoSpaceDE w:val="0"/>
              <w:autoSpaceDN w:val="0"/>
              <w:spacing w:before="17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3.团队成员能够相互补台，共同应对突发情况。</w:t>
            </w:r>
          </w:p>
          <w:p w14:paraId="6F78FB5D">
            <w:pPr>
              <w:tabs>
                <w:tab w:val="left" w:pos="452"/>
              </w:tabs>
              <w:autoSpaceDE w:val="0"/>
              <w:autoSpaceDN w:val="0"/>
              <w:spacing w:before="17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4.团队成员相互尊重、信任和支持，拥有良好的团队氛围。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0419D6">
            <w:pPr>
              <w:pStyle w:val="5"/>
              <w:widowControl/>
              <w:spacing w:beforeAutospacing="0" w:after="100" w:afterAutospacing="0"/>
              <w:jc w:val="center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10</w:t>
            </w:r>
          </w:p>
        </w:tc>
        <w:tc>
          <w:tcPr>
            <w:tcW w:w="6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5BE94B">
            <w:pPr>
              <w:pStyle w:val="5"/>
              <w:widowControl/>
              <w:spacing w:beforeAutospacing="0" w:after="100" w:afterAutospacing="0"/>
              <w:ind w:firstLine="420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  </w:t>
            </w:r>
          </w:p>
        </w:tc>
      </w:tr>
      <w:tr w14:paraId="6E1781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B4BBF4">
            <w:pPr>
              <w:pStyle w:val="5"/>
              <w:widowControl/>
              <w:spacing w:beforeAutospacing="0" w:after="100" w:afterAutospacing="0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bidi="ar"/>
              </w:rPr>
              <w:t>5</w:t>
            </w:r>
          </w:p>
        </w:tc>
        <w:tc>
          <w:tcPr>
            <w:tcW w:w="1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981B27">
            <w:pPr>
              <w:pStyle w:val="5"/>
              <w:widowControl/>
              <w:spacing w:beforeAutospacing="0" w:after="100" w:afterAutospacing="0"/>
              <w:jc w:val="both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lang w:bidi="ar"/>
              </w:rPr>
              <w:t>创新创意</w:t>
            </w:r>
          </w:p>
        </w:tc>
        <w:tc>
          <w:tcPr>
            <w:tcW w:w="5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5531EB">
            <w:pPr>
              <w:tabs>
                <w:tab w:val="left" w:pos="452"/>
              </w:tabs>
              <w:autoSpaceDE w:val="0"/>
              <w:autoSpaceDN w:val="0"/>
              <w:spacing w:before="17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1.体现原始创意、创新</w:t>
            </w:r>
          </w:p>
          <w:p w14:paraId="61643A7A">
            <w:pPr>
              <w:tabs>
                <w:tab w:val="left" w:pos="452"/>
              </w:tabs>
              <w:autoSpaceDE w:val="0"/>
              <w:autoSpaceDN w:val="0"/>
              <w:spacing w:before="17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2体现面向职业和岗位的创意及创新，侧重于实用技术技能创新、项目数字化改良、应用性优化、民生类创意等。</w:t>
            </w:r>
          </w:p>
          <w:p w14:paraId="3570FFA8">
            <w:pPr>
              <w:tabs>
                <w:tab w:val="left" w:pos="452"/>
              </w:tabs>
              <w:autoSpaceDE w:val="0"/>
              <w:autoSpaceDN w:val="0"/>
              <w:spacing w:before="17"/>
              <w:rPr>
                <w:rFonts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bidi="ar"/>
              </w:rPr>
              <w:t>3.体现团队成员创新精神和创新能力，</w:t>
            </w: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A40015">
            <w:pPr>
              <w:pStyle w:val="5"/>
              <w:widowControl/>
              <w:spacing w:beforeAutospacing="0" w:after="100" w:afterAutospacing="0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10</w:t>
            </w:r>
          </w:p>
        </w:tc>
        <w:tc>
          <w:tcPr>
            <w:tcW w:w="6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FB680A">
            <w:pPr>
              <w:pStyle w:val="5"/>
              <w:widowControl/>
              <w:spacing w:beforeAutospacing="0" w:after="100" w:afterAutospacing="0"/>
              <w:ind w:firstLine="420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 w14:paraId="4BE36D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7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70" w:type="dxa"/>
              <w:right w:w="70" w:type="dxa"/>
            </w:tcMar>
            <w:vAlign w:val="center"/>
          </w:tcPr>
          <w:p w14:paraId="6D4AFBC8">
            <w:pPr>
              <w:pStyle w:val="5"/>
              <w:widowControl/>
              <w:spacing w:beforeAutospacing="0" w:after="100" w:afterAutospacing="0" w:line="20" w:lineRule="atLeast"/>
              <w:ind w:firstLine="420"/>
              <w:rPr>
                <w:rFonts w:ascii="sans-serif" w:hAnsi="sans-serif" w:eastAsia="sans-serif" w:cs="sans-serif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满分100分</w:t>
            </w:r>
          </w:p>
        </w:tc>
      </w:tr>
    </w:tbl>
    <w:p w14:paraId="4F52791E">
      <w:pPr>
        <w:pStyle w:val="5"/>
        <w:widowControl/>
        <w:shd w:val="clear" w:color="auto" w:fill="FFFFFF"/>
        <w:spacing w:before="100" w:beforeAutospacing="0" w:after="70" w:afterAutospacing="0" w:line="20" w:lineRule="atLeast"/>
        <w:rPr>
          <w:rStyle w:val="8"/>
          <w:rFonts w:hint="eastAsia" w:ascii="微软雅黑" w:hAnsi="微软雅黑" w:eastAsia="微软雅黑" w:cs="微软雅黑"/>
          <w:bCs/>
          <w:color w:val="333333"/>
          <w:sz w:val="21"/>
          <w:szCs w:val="21"/>
          <w:shd w:val="clear" w:color="auto" w:fill="FFFFFF"/>
        </w:rPr>
      </w:pPr>
      <w:r>
        <w:rPr>
          <w:rStyle w:val="8"/>
          <w:rFonts w:hint="eastAsia" w:ascii="微软雅黑" w:hAnsi="微软雅黑" w:eastAsia="微软雅黑" w:cs="微软雅黑"/>
          <w:bCs/>
          <w:color w:val="333333"/>
          <w:sz w:val="21"/>
          <w:szCs w:val="21"/>
          <w:shd w:val="clear" w:color="auto" w:fill="FFFFFF"/>
        </w:rPr>
        <w:t>奖项设置</w:t>
      </w:r>
    </w:p>
    <w:p w14:paraId="42EEC1FC">
      <w:pPr>
        <w:pStyle w:val="5"/>
        <w:widowControl/>
        <w:shd w:val="clear" w:color="auto" w:fill="FFFFFF"/>
        <w:spacing w:before="100" w:beforeAutospacing="0" w:after="70" w:afterAutospacing="0" w:line="20" w:lineRule="atLeast"/>
        <w:rPr>
          <w:rFonts w:ascii="sans-serif" w:hAnsi="sans-serif" w:eastAsia="sans-serif" w:cs="sans-serif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由裁判进行过程评分，满分为100分。裁判根据选手的表现，按照评分标准评分。本赛项设团体一、二、三等奖。以赛项实际参赛队总数为基数，一、二、三等奖获奖比例分别为10%、15%、25%（小数点后四舍五），比赛颁发证书。</w:t>
      </w:r>
    </w:p>
    <w:p w14:paraId="740A3EE3">
      <w:pPr>
        <w:rPr>
          <w:sz w:val="24"/>
          <w:szCs w:val="24"/>
        </w:rPr>
      </w:pPr>
    </w:p>
    <w:p w14:paraId="1CDF5033">
      <w:pPr>
        <w:rPr>
          <w:sz w:val="24"/>
          <w:szCs w:val="24"/>
        </w:rPr>
      </w:pPr>
    </w:p>
    <w:p w14:paraId="35A1BDD9">
      <w:pPr>
        <w:rPr>
          <w:sz w:val="24"/>
          <w:szCs w:val="24"/>
        </w:rPr>
      </w:pPr>
    </w:p>
    <w:tbl>
      <w:tblPr>
        <w:tblStyle w:val="6"/>
        <w:tblW w:w="8340" w:type="dxa"/>
        <w:tblInd w:w="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50"/>
        <w:gridCol w:w="1220"/>
        <w:gridCol w:w="1270"/>
        <w:gridCol w:w="1020"/>
        <w:gridCol w:w="1300"/>
        <w:gridCol w:w="1340"/>
      </w:tblGrid>
      <w:tr w14:paraId="2C163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8909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附件1 2024年安徽职业技术学院“地理空间信息采集与处理”赛项技能大赛参赛报名表</w:t>
            </w:r>
          </w:p>
        </w:tc>
      </w:tr>
      <w:tr w14:paraId="13F28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BCA184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CA2C91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参赛队名称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D26A7F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参赛选手</w:t>
            </w:r>
          </w:p>
          <w:p w14:paraId="5DD5047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D17A4B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参赛选手</w:t>
            </w:r>
          </w:p>
          <w:p w14:paraId="12DBB7B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54762D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参赛选手班级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037792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指导教师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7ACF27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指导教师电话</w:t>
            </w:r>
          </w:p>
        </w:tc>
      </w:tr>
      <w:tr w14:paraId="50B09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B9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532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811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9C2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4C6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E6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91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  <w:tr w14:paraId="47C03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63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F2AFB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AFCE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1039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6404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691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776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AB3A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65E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FD97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6F5C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F8C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A9EA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5D2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A9A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F5F2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4FC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BABE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20C6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447B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8C73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178B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8E7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A822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F00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336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3CFF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263B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5052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FC66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AD8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39DC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0516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B40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8B24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1A87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88EAB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05A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910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428D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6AD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CA30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78B4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EB15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22B3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A97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000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D220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44A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E3BC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0DEA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A2A4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2925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17B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EE98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67D0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966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9A73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48B7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50C06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7CBF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722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9EC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EF13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D4D8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8E5E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2610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BE66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6EC6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585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1C7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4607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6DF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7332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AAE1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8AB7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69876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7A2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8EF8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EF56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367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249B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C437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7B1B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0BDD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6EA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26A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0FFD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3C1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F6ED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500A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5BDF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9E6D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AB1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5AF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C724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7A7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579FB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3979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DA82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8AAF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2387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6D8B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BC71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306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B2F6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BA3B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8432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705B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3B5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D83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49D7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E41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1F0D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F4B2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D5EBB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0F4DB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13E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B7C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ED79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71B6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2333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02B9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7FB0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ED83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8A16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158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0D55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807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9C6C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DC1C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296D5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EB6A4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587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F77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12D5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D1B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50E28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CC710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40248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0A089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6B8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74AD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A1B3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9AD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B8F61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B2A5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18C7E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33522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07D3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7E5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4269A2AB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YmI3YWQ1ZjQzZmQyNTJiNzU2ZjY4ZDMwOWVjMTEifQ=="/>
    <w:docVar w:name="KSO_WPS_MARK_KEY" w:val="74f29f89-e4a3-4deb-a778-26de5cec20d2"/>
  </w:docVars>
  <w:rsids>
    <w:rsidRoot w:val="60A77AA0"/>
    <w:rsid w:val="000C42FC"/>
    <w:rsid w:val="006855AD"/>
    <w:rsid w:val="00AE4629"/>
    <w:rsid w:val="213E7604"/>
    <w:rsid w:val="248A1CD5"/>
    <w:rsid w:val="323D5EBE"/>
    <w:rsid w:val="33DC3384"/>
    <w:rsid w:val="34B91ACA"/>
    <w:rsid w:val="596E06BD"/>
    <w:rsid w:val="5CD57ABE"/>
    <w:rsid w:val="5CE169BD"/>
    <w:rsid w:val="60A77AA0"/>
    <w:rsid w:val="63AE40D7"/>
    <w:rsid w:val="6E312464"/>
    <w:rsid w:val="779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1826</Words>
  <Characters>1918</Characters>
  <Lines>19</Lines>
  <Paragraphs>5</Paragraphs>
  <TotalTime>53</TotalTime>
  <ScaleCrop>false</ScaleCrop>
  <LinksUpToDate>false</LinksUpToDate>
  <CharactersWithSpaces>1928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2024-11-19T07:57:00Z</dcterms:created>
  <dc:creator>何流</dc:creator>
  <cp:lastModifiedBy>YYY</cp:lastModifiedBy>
  <dcterms:modified xsi:type="dcterms:W3CDTF">2024-11-25T01:49:54Z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D9E2BE978C49474AB8E76F79B2E7545F</vt:lpwstr>
  </property>
</Properties>
</file>