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atLeast"/>
        <w:contextualSpacing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bookmarkStart w:id="0" w:name="_Toc327434650"/>
      <w:bookmarkStart w:id="1" w:name="_Toc264750525"/>
      <w:bookmarkStart w:id="2" w:name="_Toc295064916"/>
      <w:bookmarkStart w:id="3" w:name="_Toc294984157"/>
      <w:r>
        <w:rPr>
          <w:rFonts w:ascii="黑体" w:hAnsi="黑体" w:eastAsia="黑体"/>
          <w:b/>
          <w:color w:val="000000"/>
          <w:sz w:val="30"/>
          <w:szCs w:val="30"/>
        </w:rPr>
        <w:t>20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22年安徽职业技术学院第一届电子类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atLeast"/>
        <w:contextualSpacing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“智能电子技术”项目竞赛规程</w:t>
      </w:r>
      <w:bookmarkEnd w:id="0"/>
      <w:bookmarkEnd w:id="1"/>
      <w:bookmarkEnd w:id="2"/>
      <w:bookmarkEnd w:id="3"/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atLeast"/>
        <w:contextualSpacing/>
        <w:rPr>
          <w:rFonts w:ascii="仿宋_GB2312" w:hAnsi="黑体" w:eastAsia="仿宋_GB2312"/>
          <w:b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bookmarkStart w:id="4" w:name="_Toc327434651"/>
      <w:r>
        <w:rPr>
          <w:rFonts w:hint="eastAsia" w:ascii="仿宋_GB2312" w:eastAsia="仿宋_GB2312"/>
          <w:b/>
          <w:sz w:val="28"/>
          <w:szCs w:val="28"/>
        </w:rPr>
        <w:t>一、赛项名称</w:t>
      </w:r>
      <w:bookmarkEnd w:id="4"/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智能电子技术</w:t>
      </w: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bookmarkStart w:id="5" w:name="_Toc327434652"/>
      <w:r>
        <w:rPr>
          <w:rFonts w:hint="eastAsia" w:ascii="仿宋_GB2312" w:eastAsia="仿宋_GB2312"/>
          <w:b/>
          <w:sz w:val="28"/>
          <w:szCs w:val="28"/>
        </w:rPr>
        <w:t>二、竞赛目的</w:t>
      </w:r>
      <w:bookmarkEnd w:id="5"/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bookmarkStart w:id="6" w:name="_Toc327434653"/>
      <w:r>
        <w:rPr>
          <w:rFonts w:hint="eastAsia" w:ascii="仿宋_GB2312" w:eastAsia="仿宋_GB2312"/>
          <w:sz w:val="28"/>
          <w:szCs w:val="28"/>
        </w:rPr>
        <w:t>本次竞赛旨在加强学生对电子技术、单片机技术等相关知识的理解、掌握和应用，激发学生的学习兴趣，提高学生现场分析和处理问题的能力、创新能力及安全环保意识等，该赛项对接电子产品设计及制作、集成电路开发及应用、嵌入式技术应用开发、电子产品芯片级检测维修与数据恢复等国赛赛项，对接电子信息工程技术专业核心课程。通过竞赛检验并展示我校教学改革的成效，实现“以赛促学、以赛促改”，全面提高人才培养质量。</w:t>
      </w: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三、报名</w:t>
      </w:r>
      <w:bookmarkEnd w:id="6"/>
      <w:r>
        <w:rPr>
          <w:rFonts w:hint="eastAsia" w:ascii="仿宋_GB2312" w:eastAsia="仿宋_GB2312"/>
          <w:b/>
          <w:sz w:val="28"/>
          <w:szCs w:val="28"/>
        </w:rPr>
        <w:t>事项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1．报名范围：我校在籍高职学生。（</w:t>
      </w:r>
      <w:r>
        <w:rPr>
          <w:rFonts w:hint="eastAsia" w:ascii="仿宋_GB2312" w:eastAsia="仿宋_GB2312"/>
          <w:b/>
          <w:sz w:val="28"/>
          <w:szCs w:val="28"/>
        </w:rPr>
        <w:t>注意</w:t>
      </w:r>
      <w:r>
        <w:rPr>
          <w:rFonts w:hint="eastAsia" w:ascii="仿宋_GB2312" w:eastAsia="仿宋_GB2312"/>
          <w:sz w:val="28"/>
          <w:szCs w:val="28"/>
        </w:rPr>
        <w:t>：因比赛时间相同，已报名我校PLC控制技术竞赛项目的同学不得重复报名）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2.报名时间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2022年5月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2日－</w:t>
      </w:r>
      <w:r>
        <w:rPr>
          <w:rFonts w:hint="eastAsia" w:ascii="仿宋_GB2312" w:eastAsia="仿宋_GB2312"/>
          <w:sz w:val="28"/>
          <w:szCs w:val="28"/>
        </w:rPr>
        <w:t>13日。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3.报名方式：参赛团队下载填写报名表（附件1）于</w:t>
      </w:r>
      <w:r>
        <w:rPr>
          <w:rFonts w:hint="eastAsia" w:ascii="仿宋_GB2312" w:eastAsia="仿宋_GB2312"/>
          <w:sz w:val="28"/>
          <w:szCs w:val="28"/>
          <w:lang w:eastAsia="zh-CN"/>
        </w:rPr>
        <w:t>截止日期</w:t>
      </w:r>
      <w:r>
        <w:rPr>
          <w:rFonts w:hint="eastAsia" w:ascii="仿宋_GB2312" w:eastAsia="仿宋_GB2312"/>
          <w:sz w:val="28"/>
          <w:szCs w:val="28"/>
        </w:rPr>
        <w:t>前发至比赛指定邮箱：2416612439@qq.com。</w:t>
      </w: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四、竞赛基本情况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1.竞赛组织方式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（1）竞赛分为理论考核和实践操作两个部分（若报名队伍超过20个，则取理论成绩前20名进入实操环节）。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（2）本次竞赛为团体赛，每支参赛队由2名队员组成，可配指导老师1名。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2.竞赛内容</w:t>
      </w:r>
    </w:p>
    <w:p>
      <w:pPr>
        <w:snapToGrid w:val="0"/>
        <w:spacing w:line="480" w:lineRule="exact"/>
        <w:ind w:firstLine="48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（1）理论</w:t>
      </w:r>
    </w:p>
    <w:p>
      <w:pPr>
        <w:snapToGrid w:val="0"/>
        <w:spacing w:line="480" w:lineRule="exact"/>
        <w:ind w:firstLine="48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以模拟电子、数字电子、C语言、单片机基础知识及应用知识为主。</w:t>
      </w:r>
    </w:p>
    <w:p>
      <w:pPr>
        <w:snapToGrid w:val="0"/>
        <w:spacing w:line="480" w:lineRule="exact"/>
        <w:ind w:firstLine="48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（2）实操</w:t>
      </w:r>
    </w:p>
    <w:p>
      <w:pPr>
        <w:snapToGrid w:val="0"/>
        <w:spacing w:line="480" w:lineRule="exact"/>
        <w:ind w:firstLine="48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</w:rPr>
        <w:t>、完成电路连接并测试技术指标；</w:t>
      </w:r>
    </w:p>
    <w:p>
      <w:pPr>
        <w:snapToGrid w:val="0"/>
        <w:spacing w:line="480" w:lineRule="exact"/>
        <w:ind w:firstLine="48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B、利用Keil集成开发环境和Protues 51仿真平台编程实现系统功能；</w:t>
      </w:r>
    </w:p>
    <w:p>
      <w:pPr>
        <w:snapToGrid w:val="0"/>
        <w:spacing w:line="480" w:lineRule="exact"/>
        <w:ind w:firstLine="48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C、安全文明与职业素养。</w:t>
      </w:r>
    </w:p>
    <w:p>
      <w:pPr>
        <w:adjustRightInd w:val="0"/>
        <w:snapToGrid w:val="0"/>
        <w:spacing w:line="480" w:lineRule="exact"/>
        <w:ind w:firstLine="548" w:firstLineChars="196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3.竞赛时间地点</w:t>
      </w: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94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2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理论考核</w:t>
            </w:r>
          </w:p>
        </w:tc>
        <w:tc>
          <w:tcPr>
            <w:tcW w:w="4536" w:type="dxa"/>
            <w:gridSpan w:val="2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394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5月16日</w:t>
            </w:r>
          </w:p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18:30—19:30</w:t>
            </w:r>
          </w:p>
        </w:tc>
        <w:tc>
          <w:tcPr>
            <w:tcW w:w="2394" w:type="dxa"/>
            <w:vAlign w:val="center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暂定教学C楼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5月18日</w:t>
            </w:r>
          </w:p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14:00—16:00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暂定电气楼</w:t>
            </w:r>
          </w:p>
          <w:p>
            <w:pPr>
              <w:adjustRightInd w:val="0"/>
              <w:snapToGrid w:val="0"/>
              <w:spacing w:line="48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503实训室</w:t>
            </w:r>
          </w:p>
        </w:tc>
      </w:tr>
    </w:tbl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bookmarkStart w:id="7" w:name="_Toc327434654"/>
      <w:r>
        <w:rPr>
          <w:rFonts w:hint="eastAsia" w:ascii="仿宋_GB2312" w:eastAsia="仿宋_GB2312"/>
          <w:b/>
          <w:sz w:val="28"/>
          <w:szCs w:val="28"/>
        </w:rPr>
        <w:t>五、竞赛规则</w:t>
      </w:r>
      <w:bookmarkEnd w:id="7"/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参赛选手在比赛开始前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分钟到达指定地点报到，接受工作人员对选手身份、资格和有关证件的检查。竞赛计时开始后，迟到视为自动放弃。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赛位由抽签确定，不得擅自变更、调整。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选手在竞赛过程中不得擅自离开赛场，如有特殊情况，须经裁判人员同意。选手休息、饮水、上洗手间等，不安排专门用时，统一计在竞赛时间内，竞赛计时工具，以赛场设置的时钟为准。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为保障公平、公正，参赛队员不得将手机等通信工具带入竞赛场地，否则按作弊处理。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所有人员在赛场内不得喧哗，不得有影响其他选手完成工作任务的行为。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比赛过程中要注意及时保存程序，以防丢失，人为过错自行负责（若出现死机等经裁判核实确非人为的情况可适当延迟时间，但最多不超过30分钟）。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参赛队员若要提前结束竞赛，应举手向裁判员示意，比赛结束时间由裁判员记录，参赛队员结束比赛后不得再进行任何操作。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遇事应先举手示意，并与裁判人员协商，按裁判人员的意见办理。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比赛过程中，选手须严格遵守安全操作规程，并接受裁判员的监督和警示，以确保人身及设备安全。选手因个人误操作造成人身安全事故和设备故障时，裁判长有权中止该队比赛；如非选手个人原因出现设备故障而无法比赛，由裁判长视具体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作出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裁决。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0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竞赛结束后，服从工作人员引导前往指定地点等待，逐一</w:t>
      </w:r>
      <w:r>
        <w:rPr>
          <w:rFonts w:hint="eastAsia" w:ascii="仿宋_GB2312" w:eastAsia="仿宋_GB2312"/>
          <w:sz w:val="28"/>
          <w:szCs w:val="28"/>
        </w:rPr>
        <w:t>根据裁判安排进行测试评判，对评判结果进行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签字确认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六、评分说明及奖项设定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1.评分标准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赛项的评分标准如下所示：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0"/>
        <w:gridCol w:w="2008"/>
        <w:gridCol w:w="5059"/>
        <w:gridCol w:w="1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评分项目</w:t>
            </w:r>
          </w:p>
        </w:tc>
        <w:tc>
          <w:tcPr>
            <w:tcW w:w="369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评分点与细则</w:t>
            </w:r>
          </w:p>
        </w:tc>
        <w:tc>
          <w:tcPr>
            <w:tcW w:w="54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分值比例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理论考核</w:t>
            </w:r>
          </w:p>
        </w:tc>
        <w:tc>
          <w:tcPr>
            <w:tcW w:w="369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模拟电子、数字电子、C语言、单片机基础知识及应用</w:t>
            </w:r>
          </w:p>
        </w:tc>
        <w:tc>
          <w:tcPr>
            <w:tcW w:w="54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44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实践操作</w:t>
            </w:r>
          </w:p>
        </w:tc>
        <w:tc>
          <w:tcPr>
            <w:tcW w:w="369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电子电路连接与测试</w:t>
            </w:r>
          </w:p>
        </w:tc>
        <w:tc>
          <w:tcPr>
            <w:tcW w:w="54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9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51仿真平台编程及功能实现</w:t>
            </w:r>
          </w:p>
        </w:tc>
        <w:tc>
          <w:tcPr>
            <w:tcW w:w="54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2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安全文明与职业素养</w:t>
            </w:r>
          </w:p>
        </w:tc>
        <w:tc>
          <w:tcPr>
            <w:tcW w:w="2643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规范操作、工具摆放、工位整洁、团队合作、符合职业岗位的要求和企业生产“</w:t>
            </w:r>
            <w:r>
              <w:rPr>
                <w:rFonts w:ascii="仿宋_GB2312" w:eastAsia="仿宋_GB2312"/>
                <w:sz w:val="28"/>
                <w:szCs w:val="28"/>
              </w:rPr>
              <w:t>5S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”原则。</w:t>
            </w:r>
          </w:p>
        </w:tc>
        <w:tc>
          <w:tcPr>
            <w:tcW w:w="54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</w:tbl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2.违规扣分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（1）在完成工作任务过程中，出现交流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220V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电源短路故障扣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分；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（2）在完成工作任务的过程中，因操作不当导致人身或设备安全事故，由裁判长决定扣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10-20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分，情况严重者取消比赛资格；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（3）参赛选手有不服从裁判及监考、扰乱赛场秩序等行为扣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分，情节严重的，取消竞赛资格。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3.成绩评定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按理论成绩从高分到低分排列名次，前20名进入实操环节。总成绩中理论成绩占40%，实操成绩占60%。若出现总成绩相同的情况，实操用时较短者排名靠前。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4.奖项设定</w:t>
      </w:r>
    </w:p>
    <w:p>
      <w:pPr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以参加实操的队伍数为基数按比例设定奖项。其中一等奖占比10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，二等奖占比20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，三等奖占比30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七、竞赛设备及工具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以下设备均由大赛组委会提供：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（1）THETDZ-1型电子技术实训装置；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（2）机电学院单片机实训室，计算机已经安装Protues及keil软件。</w:t>
      </w:r>
    </w:p>
    <w:p>
      <w:pPr>
        <w:adjustRightInd w:val="0"/>
        <w:snapToGrid w:val="0"/>
        <w:spacing w:line="480" w:lineRule="exact"/>
        <w:ind w:firstLine="562" w:firstLineChars="200"/>
        <w:contextualSpacing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八、申诉与仲裁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申诉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（1）参赛选手对有失公正的行为均可提出申诉。</w:t>
      </w:r>
      <w:bookmarkStart w:id="8" w:name="_GoBack"/>
      <w:bookmarkEnd w:id="8"/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（2）申诉时效：本轮次竞赛结束后1小时内提出，超过时效将不予受理。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申诉时，应按照程序由本人向竞赛委员会仲裁工作组递交书面申诉报告，报告应对申诉事件的现象、发生的时间、涉及的人员、申诉依据与理由等进行充分、实事求是的叙述。事实依据不充分、仅凭主观臆断的申诉不予受理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（4）申诉处理：仲裁工作组受理申诉，收到申诉报告之后，根据申诉事由进行审查，2小时内书面通知申诉方，告知申诉处理结果。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（5）申诉人不得无故拒不接受处理结果，不允许采取过激行为刁难、攻击工作人员，否则视为放弃申诉。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2.仲裁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（1）组委会下设仲裁工作组，负责受理比赛中出现的所有申诉并进行仲裁，以保证竞赛的顺利进行和竞赛结果公平、公正。</w:t>
      </w:r>
    </w:p>
    <w:p>
      <w:pPr>
        <w:snapToGrid w:val="0"/>
        <w:spacing w:line="480" w:lineRule="exact"/>
        <w:ind w:firstLine="560" w:firstLineChars="20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（2）仲裁工作组的裁决为最终裁决，参赛选手不得因申诉或对处理意见不服而停止比赛或滋事，否则按弃权处理。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adjustRightInd w:val="0"/>
        <w:snapToGrid w:val="0"/>
        <w:spacing w:line="480" w:lineRule="exact"/>
        <w:ind w:firstLine="560" w:firstLineChars="200"/>
        <w:contextualSpacing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left="692" w:right="560" w:firstLine="5608" w:firstLineChars="1995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安徽</w:t>
      </w:r>
      <w:r>
        <w:rPr>
          <w:rFonts w:hint="eastAsia" w:ascii="仿宋_GB2312" w:eastAsia="仿宋_GB2312"/>
          <w:b/>
          <w:bCs/>
          <w:sz w:val="28"/>
          <w:szCs w:val="28"/>
        </w:rPr>
        <w:t>职业技术学院机电工程学院</w:t>
      </w:r>
    </w:p>
    <w:p>
      <w:pPr>
        <w:tabs>
          <w:tab w:val="left" w:pos="6580"/>
          <w:tab w:val="right" w:pos="9354"/>
        </w:tabs>
        <w:spacing w:line="360" w:lineRule="auto"/>
        <w:ind w:firstLine="562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2022年5月2日</w:t>
      </w:r>
    </w:p>
    <w:p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134" w:bottom="1440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xNjg1ZDI1YjE3NTk0ZDQwNmMxZmI2NzYwODJlNTEifQ=="/>
  </w:docVars>
  <w:rsids>
    <w:rsidRoot w:val="007B7686"/>
    <w:rsid w:val="00011AD5"/>
    <w:rsid w:val="00012952"/>
    <w:rsid w:val="00016C7B"/>
    <w:rsid w:val="00017376"/>
    <w:rsid w:val="00020458"/>
    <w:rsid w:val="000253DB"/>
    <w:rsid w:val="00031DC9"/>
    <w:rsid w:val="0004062B"/>
    <w:rsid w:val="000606C6"/>
    <w:rsid w:val="00071AD9"/>
    <w:rsid w:val="00075C89"/>
    <w:rsid w:val="000803CE"/>
    <w:rsid w:val="000933B2"/>
    <w:rsid w:val="00096E0B"/>
    <w:rsid w:val="000A2F31"/>
    <w:rsid w:val="000A443E"/>
    <w:rsid w:val="000C024C"/>
    <w:rsid w:val="000F11D0"/>
    <w:rsid w:val="000F7925"/>
    <w:rsid w:val="0010089B"/>
    <w:rsid w:val="001010C1"/>
    <w:rsid w:val="00116049"/>
    <w:rsid w:val="00121573"/>
    <w:rsid w:val="00126EFE"/>
    <w:rsid w:val="001401F5"/>
    <w:rsid w:val="00142318"/>
    <w:rsid w:val="001626FF"/>
    <w:rsid w:val="00166F02"/>
    <w:rsid w:val="00171053"/>
    <w:rsid w:val="00173732"/>
    <w:rsid w:val="001827F9"/>
    <w:rsid w:val="00183A83"/>
    <w:rsid w:val="00194C6C"/>
    <w:rsid w:val="001B0985"/>
    <w:rsid w:val="001B3364"/>
    <w:rsid w:val="001B3F4B"/>
    <w:rsid w:val="001B5911"/>
    <w:rsid w:val="001B6BB2"/>
    <w:rsid w:val="001D6140"/>
    <w:rsid w:val="001E0B5B"/>
    <w:rsid w:val="001F0DD9"/>
    <w:rsid w:val="001F5E6C"/>
    <w:rsid w:val="00212BA7"/>
    <w:rsid w:val="00214B83"/>
    <w:rsid w:val="002238D6"/>
    <w:rsid w:val="0022434C"/>
    <w:rsid w:val="00225BC2"/>
    <w:rsid w:val="00233F3D"/>
    <w:rsid w:val="00266D8B"/>
    <w:rsid w:val="00267B91"/>
    <w:rsid w:val="00275351"/>
    <w:rsid w:val="002820CB"/>
    <w:rsid w:val="0028391C"/>
    <w:rsid w:val="002908A7"/>
    <w:rsid w:val="002914A8"/>
    <w:rsid w:val="0029392C"/>
    <w:rsid w:val="002940C4"/>
    <w:rsid w:val="0029610D"/>
    <w:rsid w:val="0029743A"/>
    <w:rsid w:val="002A475C"/>
    <w:rsid w:val="002A4F36"/>
    <w:rsid w:val="002B4B93"/>
    <w:rsid w:val="002B69DD"/>
    <w:rsid w:val="002C66B7"/>
    <w:rsid w:val="002D022B"/>
    <w:rsid w:val="002D3BB7"/>
    <w:rsid w:val="002D6B0E"/>
    <w:rsid w:val="002E1DF2"/>
    <w:rsid w:val="002F2AA4"/>
    <w:rsid w:val="002F7F6C"/>
    <w:rsid w:val="0030280C"/>
    <w:rsid w:val="003175FE"/>
    <w:rsid w:val="003226E1"/>
    <w:rsid w:val="00323C0A"/>
    <w:rsid w:val="00324DD2"/>
    <w:rsid w:val="00336B7E"/>
    <w:rsid w:val="003564BF"/>
    <w:rsid w:val="0036259B"/>
    <w:rsid w:val="00363A52"/>
    <w:rsid w:val="00375317"/>
    <w:rsid w:val="00384E87"/>
    <w:rsid w:val="00385306"/>
    <w:rsid w:val="00387826"/>
    <w:rsid w:val="00396F60"/>
    <w:rsid w:val="00397B06"/>
    <w:rsid w:val="003A0D73"/>
    <w:rsid w:val="003C0172"/>
    <w:rsid w:val="003C5EE5"/>
    <w:rsid w:val="003D3301"/>
    <w:rsid w:val="003F4EC2"/>
    <w:rsid w:val="003F7F37"/>
    <w:rsid w:val="00401F41"/>
    <w:rsid w:val="0041405D"/>
    <w:rsid w:val="00416778"/>
    <w:rsid w:val="00424EF6"/>
    <w:rsid w:val="0042754F"/>
    <w:rsid w:val="00437BAF"/>
    <w:rsid w:val="00451972"/>
    <w:rsid w:val="00460BDD"/>
    <w:rsid w:val="00461445"/>
    <w:rsid w:val="0047697D"/>
    <w:rsid w:val="004856D7"/>
    <w:rsid w:val="004878EB"/>
    <w:rsid w:val="00495C1F"/>
    <w:rsid w:val="00495E83"/>
    <w:rsid w:val="004A1FC4"/>
    <w:rsid w:val="004A7932"/>
    <w:rsid w:val="004D726D"/>
    <w:rsid w:val="004E548B"/>
    <w:rsid w:val="004F518D"/>
    <w:rsid w:val="005001AD"/>
    <w:rsid w:val="005026B1"/>
    <w:rsid w:val="005105BC"/>
    <w:rsid w:val="00516E48"/>
    <w:rsid w:val="005210B2"/>
    <w:rsid w:val="0052567E"/>
    <w:rsid w:val="00525EE8"/>
    <w:rsid w:val="005426DA"/>
    <w:rsid w:val="00560459"/>
    <w:rsid w:val="00570D9D"/>
    <w:rsid w:val="00576481"/>
    <w:rsid w:val="005867B9"/>
    <w:rsid w:val="005B261D"/>
    <w:rsid w:val="005B5E3E"/>
    <w:rsid w:val="005D09C1"/>
    <w:rsid w:val="005E17A7"/>
    <w:rsid w:val="0061413D"/>
    <w:rsid w:val="006171E4"/>
    <w:rsid w:val="00621FC8"/>
    <w:rsid w:val="00655334"/>
    <w:rsid w:val="006716C1"/>
    <w:rsid w:val="006859CB"/>
    <w:rsid w:val="006973FD"/>
    <w:rsid w:val="006B590D"/>
    <w:rsid w:val="006C056E"/>
    <w:rsid w:val="006C3A67"/>
    <w:rsid w:val="006C5A0D"/>
    <w:rsid w:val="006E7B13"/>
    <w:rsid w:val="006F5AE4"/>
    <w:rsid w:val="00700B1E"/>
    <w:rsid w:val="00701027"/>
    <w:rsid w:val="00723819"/>
    <w:rsid w:val="00730C4A"/>
    <w:rsid w:val="00732DB5"/>
    <w:rsid w:val="00737D70"/>
    <w:rsid w:val="00740640"/>
    <w:rsid w:val="0074645C"/>
    <w:rsid w:val="00755BA7"/>
    <w:rsid w:val="00771D7B"/>
    <w:rsid w:val="00781C01"/>
    <w:rsid w:val="0078572C"/>
    <w:rsid w:val="00792CD6"/>
    <w:rsid w:val="007B66AA"/>
    <w:rsid w:val="007B672A"/>
    <w:rsid w:val="007B694F"/>
    <w:rsid w:val="007B7686"/>
    <w:rsid w:val="007C0F37"/>
    <w:rsid w:val="007C3482"/>
    <w:rsid w:val="007D3FF0"/>
    <w:rsid w:val="007D5C0F"/>
    <w:rsid w:val="007D6BF0"/>
    <w:rsid w:val="007E4B8E"/>
    <w:rsid w:val="00801D96"/>
    <w:rsid w:val="00830048"/>
    <w:rsid w:val="00832817"/>
    <w:rsid w:val="00857ED6"/>
    <w:rsid w:val="00862416"/>
    <w:rsid w:val="0087111F"/>
    <w:rsid w:val="008766E7"/>
    <w:rsid w:val="00882D1D"/>
    <w:rsid w:val="0089020A"/>
    <w:rsid w:val="00894565"/>
    <w:rsid w:val="00896679"/>
    <w:rsid w:val="008B1AF9"/>
    <w:rsid w:val="008B6A02"/>
    <w:rsid w:val="008C4C5C"/>
    <w:rsid w:val="008E35D4"/>
    <w:rsid w:val="008E3AAC"/>
    <w:rsid w:val="008E4569"/>
    <w:rsid w:val="008F12FA"/>
    <w:rsid w:val="008F1D97"/>
    <w:rsid w:val="008F7295"/>
    <w:rsid w:val="00902079"/>
    <w:rsid w:val="00903112"/>
    <w:rsid w:val="009104B1"/>
    <w:rsid w:val="009162B9"/>
    <w:rsid w:val="00935216"/>
    <w:rsid w:val="00965B24"/>
    <w:rsid w:val="00967DED"/>
    <w:rsid w:val="009840EE"/>
    <w:rsid w:val="00992196"/>
    <w:rsid w:val="009A06F0"/>
    <w:rsid w:val="009A084D"/>
    <w:rsid w:val="009B1EFC"/>
    <w:rsid w:val="009B7B65"/>
    <w:rsid w:val="009C0F51"/>
    <w:rsid w:val="009F39CB"/>
    <w:rsid w:val="00A02762"/>
    <w:rsid w:val="00A050CE"/>
    <w:rsid w:val="00A10CE7"/>
    <w:rsid w:val="00A13554"/>
    <w:rsid w:val="00A15F4A"/>
    <w:rsid w:val="00A1691E"/>
    <w:rsid w:val="00A2749C"/>
    <w:rsid w:val="00A275ED"/>
    <w:rsid w:val="00A331C9"/>
    <w:rsid w:val="00A34615"/>
    <w:rsid w:val="00A34EB6"/>
    <w:rsid w:val="00A4360A"/>
    <w:rsid w:val="00A505A3"/>
    <w:rsid w:val="00A51014"/>
    <w:rsid w:val="00A808C3"/>
    <w:rsid w:val="00A8480B"/>
    <w:rsid w:val="00AA5DC3"/>
    <w:rsid w:val="00AA6708"/>
    <w:rsid w:val="00AA6C25"/>
    <w:rsid w:val="00AB0F1A"/>
    <w:rsid w:val="00AB3B12"/>
    <w:rsid w:val="00AB6925"/>
    <w:rsid w:val="00AC7579"/>
    <w:rsid w:val="00AD0138"/>
    <w:rsid w:val="00AD0186"/>
    <w:rsid w:val="00AD220B"/>
    <w:rsid w:val="00AD43C6"/>
    <w:rsid w:val="00AD5D42"/>
    <w:rsid w:val="00AE454C"/>
    <w:rsid w:val="00AE48DC"/>
    <w:rsid w:val="00AE66B0"/>
    <w:rsid w:val="00AF7893"/>
    <w:rsid w:val="00B06482"/>
    <w:rsid w:val="00B13BC1"/>
    <w:rsid w:val="00B356B6"/>
    <w:rsid w:val="00B4562B"/>
    <w:rsid w:val="00B518D0"/>
    <w:rsid w:val="00B825F1"/>
    <w:rsid w:val="00B8461F"/>
    <w:rsid w:val="00B84979"/>
    <w:rsid w:val="00B903D3"/>
    <w:rsid w:val="00B93050"/>
    <w:rsid w:val="00B94C96"/>
    <w:rsid w:val="00B9797D"/>
    <w:rsid w:val="00BB3E8B"/>
    <w:rsid w:val="00BB66D3"/>
    <w:rsid w:val="00BC0927"/>
    <w:rsid w:val="00C04410"/>
    <w:rsid w:val="00C05241"/>
    <w:rsid w:val="00C165FF"/>
    <w:rsid w:val="00C23364"/>
    <w:rsid w:val="00C24CF2"/>
    <w:rsid w:val="00C32073"/>
    <w:rsid w:val="00C3454A"/>
    <w:rsid w:val="00C40608"/>
    <w:rsid w:val="00C5357B"/>
    <w:rsid w:val="00C538F9"/>
    <w:rsid w:val="00C53E30"/>
    <w:rsid w:val="00C55DC1"/>
    <w:rsid w:val="00C60A2E"/>
    <w:rsid w:val="00C65B46"/>
    <w:rsid w:val="00C72BAB"/>
    <w:rsid w:val="00C758F2"/>
    <w:rsid w:val="00C962DC"/>
    <w:rsid w:val="00CA49DB"/>
    <w:rsid w:val="00CB0919"/>
    <w:rsid w:val="00CB2205"/>
    <w:rsid w:val="00CB31B2"/>
    <w:rsid w:val="00CB33A6"/>
    <w:rsid w:val="00CB4165"/>
    <w:rsid w:val="00CB6FCA"/>
    <w:rsid w:val="00CC26E7"/>
    <w:rsid w:val="00CD2051"/>
    <w:rsid w:val="00CD5890"/>
    <w:rsid w:val="00CE122C"/>
    <w:rsid w:val="00CE6AF5"/>
    <w:rsid w:val="00CE6C47"/>
    <w:rsid w:val="00CF519B"/>
    <w:rsid w:val="00CF62E8"/>
    <w:rsid w:val="00CF6E3B"/>
    <w:rsid w:val="00D02F66"/>
    <w:rsid w:val="00D05A02"/>
    <w:rsid w:val="00D23043"/>
    <w:rsid w:val="00D3342C"/>
    <w:rsid w:val="00D33D7A"/>
    <w:rsid w:val="00D42393"/>
    <w:rsid w:val="00D528A9"/>
    <w:rsid w:val="00D55939"/>
    <w:rsid w:val="00D6689A"/>
    <w:rsid w:val="00D70BD7"/>
    <w:rsid w:val="00D72402"/>
    <w:rsid w:val="00D735A0"/>
    <w:rsid w:val="00D774AB"/>
    <w:rsid w:val="00D95D4A"/>
    <w:rsid w:val="00DA1C12"/>
    <w:rsid w:val="00DC2E13"/>
    <w:rsid w:val="00DC33D6"/>
    <w:rsid w:val="00DD0A8F"/>
    <w:rsid w:val="00DF6CD9"/>
    <w:rsid w:val="00E02D73"/>
    <w:rsid w:val="00E12DCE"/>
    <w:rsid w:val="00E25CA1"/>
    <w:rsid w:val="00E26EAE"/>
    <w:rsid w:val="00E333E0"/>
    <w:rsid w:val="00E41541"/>
    <w:rsid w:val="00E554F5"/>
    <w:rsid w:val="00E55C00"/>
    <w:rsid w:val="00E73B9E"/>
    <w:rsid w:val="00E74008"/>
    <w:rsid w:val="00E909A5"/>
    <w:rsid w:val="00E9232E"/>
    <w:rsid w:val="00EB4B3A"/>
    <w:rsid w:val="00EC0D5A"/>
    <w:rsid w:val="00ED42F6"/>
    <w:rsid w:val="00EE4227"/>
    <w:rsid w:val="00EF7854"/>
    <w:rsid w:val="00F04C99"/>
    <w:rsid w:val="00F279AC"/>
    <w:rsid w:val="00F367BA"/>
    <w:rsid w:val="00F4260B"/>
    <w:rsid w:val="00F61EBC"/>
    <w:rsid w:val="00F7024F"/>
    <w:rsid w:val="00F80D7B"/>
    <w:rsid w:val="00F80FD9"/>
    <w:rsid w:val="00F90162"/>
    <w:rsid w:val="00FA41F8"/>
    <w:rsid w:val="00FB79E9"/>
    <w:rsid w:val="00FC29C1"/>
    <w:rsid w:val="00FD31E1"/>
    <w:rsid w:val="2F8C1650"/>
    <w:rsid w:val="52517E00"/>
    <w:rsid w:val="7C0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iPriority w:val="99"/>
    <w:pPr>
      <w:jc w:val="left"/>
    </w:pPr>
    <w:rPr>
      <w:sz w:val="24"/>
      <w:szCs w:val="20"/>
    </w:rPr>
  </w:style>
  <w:style w:type="paragraph" w:styleId="5">
    <w:name w:val="Date"/>
    <w:basedOn w:val="1"/>
    <w:next w:val="1"/>
    <w:link w:val="27"/>
    <w:semiHidden/>
    <w:qFormat/>
    <w:uiPriority w:val="99"/>
    <w:pPr>
      <w:ind w:left="100" w:leftChars="2500"/>
    </w:pPr>
    <w:rPr>
      <w:sz w:val="24"/>
    </w:rPr>
  </w:style>
  <w:style w:type="paragraph" w:styleId="6">
    <w:name w:val="Balloon Text"/>
    <w:basedOn w:val="1"/>
    <w:link w:val="25"/>
    <w:semiHidden/>
    <w:qFormat/>
    <w:uiPriority w:val="99"/>
    <w:rPr>
      <w:sz w:val="18"/>
      <w:szCs w:val="20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10">
    <w:name w:val="annotation subject"/>
    <w:basedOn w:val="4"/>
    <w:next w:val="4"/>
    <w:link w:val="23"/>
    <w:semiHidden/>
    <w:uiPriority w:val="99"/>
    <w:rPr>
      <w:b/>
    </w:rPr>
  </w:style>
  <w:style w:type="table" w:styleId="12">
    <w:name w:val="Table Grid"/>
    <w:basedOn w:val="11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uiPriority w:val="99"/>
    <w:rPr>
      <w:rFonts w:cs="Times New Roman"/>
      <w:sz w:val="21"/>
    </w:rPr>
  </w:style>
  <w:style w:type="character" w:customStyle="1" w:styleId="17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8">
    <w:name w:val="标题 2 Char"/>
    <w:link w:val="3"/>
    <w:qFormat/>
    <w:locked/>
    <w:uiPriority w:val="99"/>
    <w:rPr>
      <w:rFonts w:ascii="Arial" w:hAnsi="Arial" w:eastAsia="黑体" w:cs="Times New Roman"/>
      <w:b/>
      <w:sz w:val="32"/>
    </w:rPr>
  </w:style>
  <w:style w:type="character" w:customStyle="1" w:styleId="19">
    <w:name w:val="页眉 Char"/>
    <w:link w:val="8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0">
    <w:name w:val="页脚 Char"/>
    <w:link w:val="7"/>
    <w:qFormat/>
    <w:locked/>
    <w:uiPriority w:val="99"/>
    <w:rPr>
      <w:rFonts w:ascii="Times New Roman" w:hAnsi="Times New Roman" w:eastAsia="宋体" w:cs="Times New Roman"/>
      <w:sz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Char"/>
    <w:link w:val="4"/>
    <w:semiHidden/>
    <w:locked/>
    <w:uiPriority w:val="99"/>
    <w:rPr>
      <w:rFonts w:ascii="Times New Roman" w:hAnsi="Times New Roman" w:cs="Times New Roman"/>
      <w:kern w:val="2"/>
      <w:sz w:val="24"/>
    </w:rPr>
  </w:style>
  <w:style w:type="character" w:customStyle="1" w:styleId="23">
    <w:name w:val="批注主题 Char"/>
    <w:link w:val="10"/>
    <w:semiHidden/>
    <w:qFormat/>
    <w:locked/>
    <w:uiPriority w:val="99"/>
    <w:rPr>
      <w:rFonts w:ascii="Times New Roman" w:hAnsi="Times New Roman" w:cs="Times New Roman"/>
      <w:b/>
      <w:kern w:val="2"/>
      <w:sz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批注框文本 Char"/>
    <w:link w:val="6"/>
    <w:semiHidden/>
    <w:qFormat/>
    <w:locked/>
    <w:uiPriority w:val="99"/>
    <w:rPr>
      <w:rFonts w:ascii="Times New Roman" w:hAnsi="Times New Roman" w:cs="Times New Roman"/>
      <w:kern w:val="2"/>
      <w:sz w:val="18"/>
    </w:rPr>
  </w:style>
  <w:style w:type="character" w:customStyle="1" w:styleId="26">
    <w:name w:val="副标题 Char"/>
    <w:link w:val="9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27">
    <w:name w:val="日期 Char"/>
    <w:link w:val="5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153B-85FC-41B3-8E5E-92122857F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2039</Words>
  <Characters>2165</Characters>
  <Lines>16</Lines>
  <Paragraphs>4</Paragraphs>
  <TotalTime>75</TotalTime>
  <ScaleCrop>false</ScaleCrop>
  <LinksUpToDate>false</LinksUpToDate>
  <CharactersWithSpaces>2171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2022-04-25T04:55:00Z</dcterms:created>
  <dc:creator>zhangwei</dc:creator>
  <cp:lastModifiedBy>70Carrots</cp:lastModifiedBy>
  <dcterms:modified xsi:type="dcterms:W3CDTF">2022-05-03T07:26:38Z</dcterms:modified>
  <dc:title>2016年安徽省职业院校院级技能大赛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43D8669FC3CD4823B8D02696C8E834FF</vt:lpwstr>
  </property>
</Properties>
</file>